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2B60ED"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2DDD84D7" w14:textId="77777777" w:rsidTr="00BD221D">
        <w:trPr>
          <w:cantSplit/>
          <w:trHeight w:hRule="exact" w:val="1440"/>
          <w:jc w:val="right"/>
        </w:trPr>
        <w:tc>
          <w:tcPr>
            <w:tcW w:w="9000" w:type="dxa"/>
            <w:shd w:val="clear" w:color="auto" w:fill="8DC63F"/>
            <w:vAlign w:val="center"/>
          </w:tcPr>
          <w:p w14:paraId="2F321733" w14:textId="77777777" w:rsidR="00BD221D" w:rsidRPr="00DE4DA3" w:rsidRDefault="00A61452" w:rsidP="00BD221D">
            <w:pPr>
              <w:pStyle w:val="eTRMHeading1"/>
              <w:jc w:val="center"/>
              <w:rPr>
                <w:sz w:val="28"/>
              </w:rPr>
            </w:pPr>
            <w:r w:rsidRPr="00DE4DA3">
              <w:rPr>
                <w:sz w:val="28"/>
              </w:rPr>
              <w:t>Lighting</w:t>
            </w:r>
          </w:p>
          <w:p w14:paraId="4A129749" w14:textId="77777777" w:rsidR="00BD221D" w:rsidRPr="00DE4DA3" w:rsidRDefault="003215F4" w:rsidP="005D2E2C">
            <w:pPr>
              <w:pStyle w:val="eTRMHeading2"/>
              <w:rPr>
                <w:color w:val="FFFFFF" w:themeColor="background1"/>
                <w:spacing w:val="60"/>
                <w:sz w:val="32"/>
              </w:rPr>
            </w:pPr>
            <w:r w:rsidRPr="00DE4DA3">
              <w:rPr>
                <w:color w:val="FFFFFF" w:themeColor="background1"/>
                <w:spacing w:val="60"/>
                <w:sz w:val="32"/>
              </w:rPr>
              <w:t>LED</w:t>
            </w:r>
            <w:r w:rsidR="00DE4DA3" w:rsidRPr="00DE4DA3">
              <w:rPr>
                <w:color w:val="FFFFFF" w:themeColor="background1"/>
                <w:spacing w:val="60"/>
                <w:sz w:val="32"/>
              </w:rPr>
              <w:t>, Tube</w:t>
            </w:r>
            <w:r w:rsidR="005D2E2C" w:rsidRPr="00DE4DA3">
              <w:rPr>
                <w:color w:val="FFFFFF" w:themeColor="background1"/>
                <w:spacing w:val="60"/>
                <w:sz w:val="32"/>
              </w:rPr>
              <w:t xml:space="preserve"> </w:t>
            </w:r>
          </w:p>
          <w:p w14:paraId="2FB0D4B9" w14:textId="442BD165" w:rsidR="00DE4DA3" w:rsidRPr="00DE4DA3" w:rsidRDefault="00DE4DA3" w:rsidP="005D2E2C">
            <w:pPr>
              <w:pStyle w:val="eTRMHeading2"/>
              <w:rPr>
                <w:color w:val="FFFFFF" w:themeColor="background1"/>
                <w:spacing w:val="0"/>
                <w:sz w:val="28"/>
              </w:rPr>
            </w:pPr>
            <w:r w:rsidRPr="00DE4DA3">
              <w:rPr>
                <w:color w:val="FFFFFF" w:themeColor="background1"/>
                <w:spacing w:val="0"/>
                <w:sz w:val="28"/>
              </w:rPr>
              <w:t>SWLG009-0</w:t>
            </w:r>
            <w:r w:rsidR="009E3F9B">
              <w:rPr>
                <w:color w:val="FFFFFF" w:themeColor="background1"/>
                <w:spacing w:val="0"/>
                <w:sz w:val="28"/>
              </w:rPr>
              <w:t>2</w:t>
            </w:r>
          </w:p>
        </w:tc>
      </w:tr>
    </w:tbl>
    <w:p w14:paraId="263DF876" w14:textId="77777777" w:rsidR="00BD221D" w:rsidRDefault="00BD221D" w:rsidP="00BD221D"/>
    <w:p w14:paraId="32717DDE" w14:textId="77777777" w:rsidR="00D12B8C" w:rsidRPr="00E14349" w:rsidRDefault="007E1F66" w:rsidP="0053748E">
      <w:pPr>
        <w:jc w:val="center"/>
        <w:rPr>
          <w:spacing w:val="80"/>
          <w:sz w:val="28"/>
        </w:rPr>
      </w:pPr>
      <w:r w:rsidRPr="00E14349">
        <w:rPr>
          <w:spacing w:val="80"/>
          <w:sz w:val="28"/>
        </w:rPr>
        <w:t>CONTENTS</w:t>
      </w:r>
    </w:p>
    <w:p w14:paraId="53377B38" w14:textId="12DB3BCD" w:rsidR="005D75BE" w:rsidRDefault="006D4961">
      <w:pPr>
        <w:pStyle w:val="TOC3"/>
        <w:rPr>
          <w:rFonts w:asciiTheme="minorHAnsi" w:hAnsiTheme="minorHAnsi"/>
          <w:noProof/>
          <w:szCs w:val="22"/>
        </w:rPr>
      </w:pPr>
      <w:r>
        <w:fldChar w:fldCharType="begin"/>
      </w:r>
      <w:r w:rsidR="001C6C9B">
        <w:instrText xml:space="preserve"> TOC \t "eTRM Heading 3,3" </w:instrText>
      </w:r>
      <w:r>
        <w:fldChar w:fldCharType="separate"/>
      </w:r>
      <w:r w:rsidR="005D75BE">
        <w:rPr>
          <w:noProof/>
        </w:rPr>
        <w:t>Measure Name</w:t>
      </w:r>
      <w:r w:rsidR="005D75BE">
        <w:rPr>
          <w:noProof/>
        </w:rPr>
        <w:tab/>
      </w:r>
      <w:r w:rsidR="005D75BE">
        <w:rPr>
          <w:noProof/>
        </w:rPr>
        <w:fldChar w:fldCharType="begin"/>
      </w:r>
      <w:r w:rsidR="005D75BE">
        <w:rPr>
          <w:noProof/>
        </w:rPr>
        <w:instrText xml:space="preserve"> PAGEREF _Toc40948484 \h </w:instrText>
      </w:r>
      <w:r w:rsidR="005D75BE">
        <w:rPr>
          <w:noProof/>
        </w:rPr>
      </w:r>
      <w:r w:rsidR="005D75BE">
        <w:rPr>
          <w:noProof/>
        </w:rPr>
        <w:fldChar w:fldCharType="separate"/>
      </w:r>
      <w:r w:rsidR="005D75BE">
        <w:rPr>
          <w:noProof/>
        </w:rPr>
        <w:t>2</w:t>
      </w:r>
      <w:r w:rsidR="005D75BE">
        <w:rPr>
          <w:noProof/>
        </w:rPr>
        <w:fldChar w:fldCharType="end"/>
      </w:r>
    </w:p>
    <w:p w14:paraId="127F05EA" w14:textId="731C5F13" w:rsidR="005D75BE" w:rsidRDefault="005D75BE">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_Toc40948485 \h </w:instrText>
      </w:r>
      <w:r>
        <w:rPr>
          <w:noProof/>
        </w:rPr>
      </w:r>
      <w:r>
        <w:rPr>
          <w:noProof/>
        </w:rPr>
        <w:fldChar w:fldCharType="separate"/>
      </w:r>
      <w:r>
        <w:rPr>
          <w:noProof/>
        </w:rPr>
        <w:t>2</w:t>
      </w:r>
      <w:r>
        <w:rPr>
          <w:noProof/>
        </w:rPr>
        <w:fldChar w:fldCharType="end"/>
      </w:r>
    </w:p>
    <w:p w14:paraId="2E128B12" w14:textId="0B9D92AC" w:rsidR="005D75BE" w:rsidRDefault="005D75BE">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_Toc40948486 \h </w:instrText>
      </w:r>
      <w:r>
        <w:rPr>
          <w:noProof/>
        </w:rPr>
      </w:r>
      <w:r>
        <w:rPr>
          <w:noProof/>
        </w:rPr>
        <w:fldChar w:fldCharType="separate"/>
      </w:r>
      <w:r>
        <w:rPr>
          <w:noProof/>
        </w:rPr>
        <w:t>2</w:t>
      </w:r>
      <w:r>
        <w:rPr>
          <w:noProof/>
        </w:rPr>
        <w:fldChar w:fldCharType="end"/>
      </w:r>
    </w:p>
    <w:p w14:paraId="186DF9B3" w14:textId="07A9AB17" w:rsidR="005D75BE" w:rsidRDefault="005D75BE">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_Toc40948487 \h </w:instrText>
      </w:r>
      <w:r>
        <w:rPr>
          <w:noProof/>
        </w:rPr>
      </w:r>
      <w:r>
        <w:rPr>
          <w:noProof/>
        </w:rPr>
        <w:fldChar w:fldCharType="separate"/>
      </w:r>
      <w:r>
        <w:rPr>
          <w:noProof/>
        </w:rPr>
        <w:t>6</w:t>
      </w:r>
      <w:r>
        <w:rPr>
          <w:noProof/>
        </w:rPr>
        <w:fldChar w:fldCharType="end"/>
      </w:r>
    </w:p>
    <w:p w14:paraId="4E10F86E" w14:textId="4E243061" w:rsidR="005D75BE" w:rsidRDefault="005D75BE">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_Toc40948488 \h </w:instrText>
      </w:r>
      <w:r>
        <w:rPr>
          <w:noProof/>
        </w:rPr>
      </w:r>
      <w:r>
        <w:rPr>
          <w:noProof/>
        </w:rPr>
        <w:fldChar w:fldCharType="separate"/>
      </w:r>
      <w:r>
        <w:rPr>
          <w:noProof/>
        </w:rPr>
        <w:t>6</w:t>
      </w:r>
      <w:r>
        <w:rPr>
          <w:noProof/>
        </w:rPr>
        <w:fldChar w:fldCharType="end"/>
      </w:r>
    </w:p>
    <w:p w14:paraId="7C177AD6" w14:textId="165BA2DC" w:rsidR="005D75BE" w:rsidRDefault="005D75BE">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_Toc40948489 \h </w:instrText>
      </w:r>
      <w:r>
        <w:rPr>
          <w:noProof/>
        </w:rPr>
      </w:r>
      <w:r>
        <w:rPr>
          <w:noProof/>
        </w:rPr>
        <w:fldChar w:fldCharType="separate"/>
      </w:r>
      <w:r>
        <w:rPr>
          <w:noProof/>
        </w:rPr>
        <w:t>6</w:t>
      </w:r>
      <w:r>
        <w:rPr>
          <w:noProof/>
        </w:rPr>
        <w:fldChar w:fldCharType="end"/>
      </w:r>
    </w:p>
    <w:p w14:paraId="2BD04CA5" w14:textId="7A9E3753" w:rsidR="005D75BE" w:rsidRDefault="005D75BE">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_Toc40948490 \h </w:instrText>
      </w:r>
      <w:r>
        <w:rPr>
          <w:noProof/>
        </w:rPr>
      </w:r>
      <w:r>
        <w:rPr>
          <w:noProof/>
        </w:rPr>
        <w:fldChar w:fldCharType="separate"/>
      </w:r>
      <w:r>
        <w:rPr>
          <w:noProof/>
        </w:rPr>
        <w:t>7</w:t>
      </w:r>
      <w:r>
        <w:rPr>
          <w:noProof/>
        </w:rPr>
        <w:fldChar w:fldCharType="end"/>
      </w:r>
    </w:p>
    <w:p w14:paraId="711914CE" w14:textId="4D1C55F0" w:rsidR="005D75BE" w:rsidRDefault="005D75BE">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_Toc40948491 \h </w:instrText>
      </w:r>
      <w:r>
        <w:rPr>
          <w:noProof/>
        </w:rPr>
      </w:r>
      <w:r>
        <w:rPr>
          <w:noProof/>
        </w:rPr>
        <w:fldChar w:fldCharType="separate"/>
      </w:r>
      <w:r>
        <w:rPr>
          <w:noProof/>
        </w:rPr>
        <w:t>7</w:t>
      </w:r>
      <w:r>
        <w:rPr>
          <w:noProof/>
        </w:rPr>
        <w:fldChar w:fldCharType="end"/>
      </w:r>
    </w:p>
    <w:p w14:paraId="6A400BE2" w14:textId="01846119" w:rsidR="005D75BE" w:rsidRDefault="005D75BE">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_Toc40948492 \h </w:instrText>
      </w:r>
      <w:r>
        <w:rPr>
          <w:noProof/>
        </w:rPr>
      </w:r>
      <w:r>
        <w:rPr>
          <w:noProof/>
        </w:rPr>
        <w:fldChar w:fldCharType="separate"/>
      </w:r>
      <w:r>
        <w:rPr>
          <w:noProof/>
        </w:rPr>
        <w:t>9</w:t>
      </w:r>
      <w:r>
        <w:rPr>
          <w:noProof/>
        </w:rPr>
        <w:fldChar w:fldCharType="end"/>
      </w:r>
    </w:p>
    <w:p w14:paraId="3614D06B" w14:textId="08318629" w:rsidR="005D75BE" w:rsidRDefault="005D75BE">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_Toc40948493 \h </w:instrText>
      </w:r>
      <w:r>
        <w:rPr>
          <w:noProof/>
        </w:rPr>
      </w:r>
      <w:r>
        <w:rPr>
          <w:noProof/>
        </w:rPr>
        <w:fldChar w:fldCharType="separate"/>
      </w:r>
      <w:r>
        <w:rPr>
          <w:noProof/>
        </w:rPr>
        <w:t>9</w:t>
      </w:r>
      <w:r>
        <w:rPr>
          <w:noProof/>
        </w:rPr>
        <w:fldChar w:fldCharType="end"/>
      </w:r>
    </w:p>
    <w:p w14:paraId="578C6140" w14:textId="0790F2ED" w:rsidR="005D75BE" w:rsidRDefault="005D75BE">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_Toc40948494 \h </w:instrText>
      </w:r>
      <w:r>
        <w:rPr>
          <w:noProof/>
        </w:rPr>
      </w:r>
      <w:r>
        <w:rPr>
          <w:noProof/>
        </w:rPr>
        <w:fldChar w:fldCharType="separate"/>
      </w:r>
      <w:r>
        <w:rPr>
          <w:noProof/>
        </w:rPr>
        <w:t>10</w:t>
      </w:r>
      <w:r>
        <w:rPr>
          <w:noProof/>
        </w:rPr>
        <w:fldChar w:fldCharType="end"/>
      </w:r>
    </w:p>
    <w:p w14:paraId="3F7BBFEC" w14:textId="0E342706" w:rsidR="005D75BE" w:rsidRDefault="005D75BE">
      <w:pPr>
        <w:pStyle w:val="TOC3"/>
        <w:rPr>
          <w:rFonts w:asciiTheme="minorHAnsi" w:hAnsiTheme="minorHAnsi"/>
          <w:noProof/>
          <w:szCs w:val="22"/>
        </w:rPr>
      </w:pPr>
      <w:r>
        <w:rPr>
          <w:noProof/>
        </w:rPr>
        <w:t>Electric Savings (</w:t>
      </w:r>
      <w:r w:rsidRPr="00ED487A">
        <w:rPr>
          <w:noProof/>
        </w:rPr>
        <w:t>k</w:t>
      </w:r>
      <w:r>
        <w:rPr>
          <w:noProof/>
        </w:rPr>
        <w:t>W</w:t>
      </w:r>
      <w:r w:rsidRPr="00ED487A">
        <w:rPr>
          <w:noProof/>
        </w:rPr>
        <w:t>h</w:t>
      </w:r>
      <w:r>
        <w:rPr>
          <w:noProof/>
        </w:rPr>
        <w:t>)</w:t>
      </w:r>
      <w:r>
        <w:rPr>
          <w:noProof/>
        </w:rPr>
        <w:tab/>
      </w:r>
      <w:r>
        <w:rPr>
          <w:noProof/>
        </w:rPr>
        <w:fldChar w:fldCharType="begin"/>
      </w:r>
      <w:r>
        <w:rPr>
          <w:noProof/>
        </w:rPr>
        <w:instrText xml:space="preserve"> PAGEREF _Toc40948495 \h </w:instrText>
      </w:r>
      <w:r>
        <w:rPr>
          <w:noProof/>
        </w:rPr>
      </w:r>
      <w:r>
        <w:rPr>
          <w:noProof/>
        </w:rPr>
        <w:fldChar w:fldCharType="separate"/>
      </w:r>
      <w:r>
        <w:rPr>
          <w:noProof/>
        </w:rPr>
        <w:t>10</w:t>
      </w:r>
      <w:r>
        <w:rPr>
          <w:noProof/>
        </w:rPr>
        <w:fldChar w:fldCharType="end"/>
      </w:r>
    </w:p>
    <w:p w14:paraId="097E9B40" w14:textId="0163016A" w:rsidR="005D75BE" w:rsidRDefault="005D75BE">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_Toc40948496 \h </w:instrText>
      </w:r>
      <w:r>
        <w:rPr>
          <w:noProof/>
        </w:rPr>
      </w:r>
      <w:r>
        <w:rPr>
          <w:noProof/>
        </w:rPr>
        <w:fldChar w:fldCharType="separate"/>
      </w:r>
      <w:r>
        <w:rPr>
          <w:noProof/>
        </w:rPr>
        <w:t>16</w:t>
      </w:r>
      <w:r>
        <w:rPr>
          <w:noProof/>
        </w:rPr>
        <w:fldChar w:fldCharType="end"/>
      </w:r>
    </w:p>
    <w:p w14:paraId="5916A9E9" w14:textId="2BBE9AB4" w:rsidR="005D75BE" w:rsidRDefault="005D75BE">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_Toc40948497 \h </w:instrText>
      </w:r>
      <w:r>
        <w:rPr>
          <w:noProof/>
        </w:rPr>
      </w:r>
      <w:r>
        <w:rPr>
          <w:noProof/>
        </w:rPr>
        <w:fldChar w:fldCharType="separate"/>
      </w:r>
      <w:r>
        <w:rPr>
          <w:noProof/>
        </w:rPr>
        <w:t>18</w:t>
      </w:r>
      <w:r>
        <w:rPr>
          <w:noProof/>
        </w:rPr>
        <w:fldChar w:fldCharType="end"/>
      </w:r>
    </w:p>
    <w:p w14:paraId="55812A4F" w14:textId="3340B85B" w:rsidR="005D75BE" w:rsidRDefault="005D75BE">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_Toc40948498 \h </w:instrText>
      </w:r>
      <w:r>
        <w:rPr>
          <w:noProof/>
        </w:rPr>
      </w:r>
      <w:r>
        <w:rPr>
          <w:noProof/>
        </w:rPr>
        <w:fldChar w:fldCharType="separate"/>
      </w:r>
      <w:r>
        <w:rPr>
          <w:noProof/>
        </w:rPr>
        <w:t>20</w:t>
      </w:r>
      <w:r>
        <w:rPr>
          <w:noProof/>
        </w:rPr>
        <w:fldChar w:fldCharType="end"/>
      </w:r>
    </w:p>
    <w:p w14:paraId="5740EA4C" w14:textId="4C93AC31" w:rsidR="005D75BE" w:rsidRDefault="005D75BE">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_Toc40948499 \h </w:instrText>
      </w:r>
      <w:r>
        <w:rPr>
          <w:noProof/>
        </w:rPr>
      </w:r>
      <w:r>
        <w:rPr>
          <w:noProof/>
        </w:rPr>
        <w:fldChar w:fldCharType="separate"/>
      </w:r>
      <w:r>
        <w:rPr>
          <w:noProof/>
        </w:rPr>
        <w:t>21</w:t>
      </w:r>
      <w:r>
        <w:rPr>
          <w:noProof/>
        </w:rPr>
        <w:fldChar w:fldCharType="end"/>
      </w:r>
    </w:p>
    <w:p w14:paraId="70693807" w14:textId="4FC3ED46" w:rsidR="005D75BE" w:rsidRDefault="005D75BE">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_Toc40948500 \h </w:instrText>
      </w:r>
      <w:r>
        <w:rPr>
          <w:noProof/>
        </w:rPr>
      </w:r>
      <w:r>
        <w:rPr>
          <w:noProof/>
        </w:rPr>
        <w:fldChar w:fldCharType="separate"/>
      </w:r>
      <w:r>
        <w:rPr>
          <w:noProof/>
        </w:rPr>
        <w:t>22</w:t>
      </w:r>
      <w:r>
        <w:rPr>
          <w:noProof/>
        </w:rPr>
        <w:fldChar w:fldCharType="end"/>
      </w:r>
    </w:p>
    <w:p w14:paraId="0F975D41" w14:textId="02193206" w:rsidR="005D75BE" w:rsidRDefault="005D75BE">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_Toc40948501 \h </w:instrText>
      </w:r>
      <w:r>
        <w:rPr>
          <w:noProof/>
        </w:rPr>
      </w:r>
      <w:r>
        <w:rPr>
          <w:noProof/>
        </w:rPr>
        <w:fldChar w:fldCharType="separate"/>
      </w:r>
      <w:r>
        <w:rPr>
          <w:noProof/>
        </w:rPr>
        <w:t>22</w:t>
      </w:r>
      <w:r>
        <w:rPr>
          <w:noProof/>
        </w:rPr>
        <w:fldChar w:fldCharType="end"/>
      </w:r>
    </w:p>
    <w:p w14:paraId="3CE15211" w14:textId="73E826DB" w:rsidR="005D75BE" w:rsidRDefault="005D75BE">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_Toc40948502 \h </w:instrText>
      </w:r>
      <w:r>
        <w:rPr>
          <w:noProof/>
        </w:rPr>
      </w:r>
      <w:r>
        <w:rPr>
          <w:noProof/>
        </w:rPr>
        <w:fldChar w:fldCharType="separate"/>
      </w:r>
      <w:r>
        <w:rPr>
          <w:noProof/>
        </w:rPr>
        <w:t>22</w:t>
      </w:r>
      <w:r>
        <w:rPr>
          <w:noProof/>
        </w:rPr>
        <w:fldChar w:fldCharType="end"/>
      </w:r>
    </w:p>
    <w:p w14:paraId="2B162CA5" w14:textId="5355A300" w:rsidR="005D75BE" w:rsidRDefault="005D75BE">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_Toc40948503 \h </w:instrText>
      </w:r>
      <w:r>
        <w:rPr>
          <w:noProof/>
        </w:rPr>
      </w:r>
      <w:r>
        <w:rPr>
          <w:noProof/>
        </w:rPr>
        <w:fldChar w:fldCharType="separate"/>
      </w:r>
      <w:r>
        <w:rPr>
          <w:noProof/>
        </w:rPr>
        <w:t>22</w:t>
      </w:r>
      <w:r>
        <w:rPr>
          <w:noProof/>
        </w:rPr>
        <w:fldChar w:fldCharType="end"/>
      </w:r>
    </w:p>
    <w:p w14:paraId="0CBB80F3" w14:textId="1ECA3F72" w:rsidR="005D75BE" w:rsidRDefault="005D75BE">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_Toc40948504 \h </w:instrText>
      </w:r>
      <w:r>
        <w:rPr>
          <w:noProof/>
        </w:rPr>
      </w:r>
      <w:r>
        <w:rPr>
          <w:noProof/>
        </w:rPr>
        <w:fldChar w:fldCharType="separate"/>
      </w:r>
      <w:r>
        <w:rPr>
          <w:noProof/>
        </w:rPr>
        <w:t>23</w:t>
      </w:r>
      <w:r>
        <w:rPr>
          <w:noProof/>
        </w:rPr>
        <w:fldChar w:fldCharType="end"/>
      </w:r>
    </w:p>
    <w:p w14:paraId="104E96F0" w14:textId="5F99E39B" w:rsidR="005D75BE" w:rsidRDefault="005D75BE">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_Toc40948505 \h </w:instrText>
      </w:r>
      <w:r>
        <w:rPr>
          <w:noProof/>
        </w:rPr>
      </w:r>
      <w:r>
        <w:rPr>
          <w:noProof/>
        </w:rPr>
        <w:fldChar w:fldCharType="separate"/>
      </w:r>
      <w:r>
        <w:rPr>
          <w:noProof/>
        </w:rPr>
        <w:t>23</w:t>
      </w:r>
      <w:r>
        <w:rPr>
          <w:noProof/>
        </w:rPr>
        <w:fldChar w:fldCharType="end"/>
      </w:r>
    </w:p>
    <w:p w14:paraId="3201328E" w14:textId="4695A62E" w:rsidR="005D75BE" w:rsidRDefault="005D75BE">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_Toc40948506 \h </w:instrText>
      </w:r>
      <w:r>
        <w:rPr>
          <w:noProof/>
        </w:rPr>
      </w:r>
      <w:r>
        <w:rPr>
          <w:noProof/>
        </w:rPr>
        <w:fldChar w:fldCharType="separate"/>
      </w:r>
      <w:r>
        <w:rPr>
          <w:noProof/>
        </w:rPr>
        <w:t>23</w:t>
      </w:r>
      <w:r>
        <w:rPr>
          <w:noProof/>
        </w:rPr>
        <w:fldChar w:fldCharType="end"/>
      </w:r>
    </w:p>
    <w:p w14:paraId="72FD425B" w14:textId="177157F4" w:rsidR="005D75BE" w:rsidRDefault="005D75BE">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_Toc40948507 \h </w:instrText>
      </w:r>
      <w:r>
        <w:rPr>
          <w:noProof/>
        </w:rPr>
      </w:r>
      <w:r>
        <w:rPr>
          <w:noProof/>
        </w:rPr>
        <w:fldChar w:fldCharType="separate"/>
      </w:r>
      <w:r>
        <w:rPr>
          <w:noProof/>
        </w:rPr>
        <w:t>24</w:t>
      </w:r>
      <w:r>
        <w:rPr>
          <w:noProof/>
        </w:rPr>
        <w:fldChar w:fldCharType="end"/>
      </w:r>
    </w:p>
    <w:p w14:paraId="6E6146E9" w14:textId="37C0A063" w:rsidR="001C6C9B" w:rsidRPr="00D12B8C" w:rsidRDefault="006D4961" w:rsidP="00D12B8C">
      <w:r>
        <w:fldChar w:fldCharType="end"/>
      </w:r>
    </w:p>
    <w:p w14:paraId="24EA5554" w14:textId="77777777" w:rsidR="007E1F66" w:rsidRDefault="007E1F66" w:rsidP="00462BB6">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4CF114B0" w14:textId="77777777" w:rsidR="00413DE5" w:rsidRPr="007E1F66" w:rsidRDefault="00413DE5" w:rsidP="00462BB6">
      <w:pPr>
        <w:pStyle w:val="eTRMHeading3"/>
        <w:spacing w:before="20" w:after="20"/>
      </w:pPr>
      <w:bookmarkStart w:id="0" w:name="_Toc486490839"/>
      <w:bookmarkStart w:id="1" w:name="_Toc486580912"/>
      <w:bookmarkStart w:id="2" w:name="_Toc40948484"/>
      <w:r w:rsidRPr="007E1F66">
        <w:lastRenderedPageBreak/>
        <w:t>Measure Name</w:t>
      </w:r>
      <w:bookmarkEnd w:id="0"/>
      <w:bookmarkEnd w:id="1"/>
      <w:bookmarkEnd w:id="2"/>
    </w:p>
    <w:p w14:paraId="57B3930E" w14:textId="3FCB46BC" w:rsidR="00413DE5" w:rsidRDefault="00413DE5" w:rsidP="00020B4B">
      <w:pPr>
        <w:spacing w:before="20" w:after="20" w:line="280" w:lineRule="exact"/>
      </w:pPr>
      <w:r w:rsidRPr="003215F4">
        <w:t>LED</w:t>
      </w:r>
      <w:r w:rsidR="00DE4DA3">
        <w:t>, Tube</w:t>
      </w:r>
      <w:r>
        <w:t xml:space="preserve"> </w:t>
      </w:r>
    </w:p>
    <w:p w14:paraId="5FF571DE" w14:textId="77777777" w:rsidR="00413DE5" w:rsidRPr="00401C43" w:rsidRDefault="00413DE5" w:rsidP="00020B4B">
      <w:pPr>
        <w:spacing w:before="20" w:after="20" w:line="280" w:lineRule="exact"/>
      </w:pPr>
    </w:p>
    <w:p w14:paraId="1F1D683D" w14:textId="77777777" w:rsidR="00413DE5" w:rsidRPr="00074E3E" w:rsidRDefault="00413DE5" w:rsidP="00462BB6">
      <w:pPr>
        <w:pStyle w:val="eTRMHeading3"/>
        <w:spacing w:before="20" w:after="20"/>
      </w:pPr>
      <w:bookmarkStart w:id="3" w:name="_Toc486490840"/>
      <w:bookmarkStart w:id="4" w:name="_Toc486580913"/>
      <w:bookmarkStart w:id="5" w:name="_Toc40948485"/>
      <w:r>
        <w:t>Statewide Measure ID</w:t>
      </w:r>
      <w:bookmarkEnd w:id="3"/>
      <w:bookmarkEnd w:id="4"/>
      <w:bookmarkEnd w:id="5"/>
    </w:p>
    <w:p w14:paraId="2F161767" w14:textId="571F74D6" w:rsidR="00DB7EAF" w:rsidRDefault="00DB7EAF" w:rsidP="00DB7EAF">
      <w:pPr>
        <w:spacing w:before="20" w:after="20" w:line="280" w:lineRule="exact"/>
      </w:pPr>
      <w:r w:rsidRPr="00DE4DA3">
        <w:t>SWLG00</w:t>
      </w:r>
      <w:r w:rsidR="00DE4DA3" w:rsidRPr="00DE4DA3">
        <w:t>9-0</w:t>
      </w:r>
      <w:r w:rsidR="009E3F9B">
        <w:t>2</w:t>
      </w:r>
    </w:p>
    <w:p w14:paraId="2E9F6A46" w14:textId="77777777" w:rsidR="00413DE5" w:rsidRPr="00462BB6" w:rsidRDefault="00413DE5" w:rsidP="00B80039"/>
    <w:p w14:paraId="706B6232" w14:textId="77777777" w:rsidR="00E70CBD" w:rsidRPr="00154391" w:rsidRDefault="00E70CBD" w:rsidP="00462BB6">
      <w:pPr>
        <w:pStyle w:val="eTRMHeading3"/>
      </w:pPr>
      <w:bookmarkStart w:id="6" w:name="_Toc486490847"/>
      <w:bookmarkStart w:id="7" w:name="_Toc486580918"/>
      <w:bookmarkStart w:id="8" w:name="_Toc40948486"/>
      <w:r w:rsidRPr="00154391">
        <w:t>Technology Summary</w:t>
      </w:r>
      <w:bookmarkEnd w:id="6"/>
      <w:bookmarkEnd w:id="7"/>
      <w:bookmarkEnd w:id="8"/>
      <w:r w:rsidRPr="00154391">
        <w:t xml:space="preserve"> </w:t>
      </w:r>
    </w:p>
    <w:p w14:paraId="62A306FB" w14:textId="3273E674" w:rsidR="00020B4B" w:rsidRPr="00A72BFF" w:rsidRDefault="007826D5" w:rsidP="007826D5">
      <w:pPr>
        <w:rPr>
          <w:i/>
        </w:rPr>
      </w:pPr>
      <w:r>
        <w:rPr>
          <w:rFonts w:cstheme="minorHAnsi"/>
          <w:szCs w:val="22"/>
        </w:rPr>
        <w:t>The</w:t>
      </w:r>
      <w:r w:rsidR="00020B4B" w:rsidRPr="00A72BFF">
        <w:rPr>
          <w:rFonts w:cstheme="minorHAnsi"/>
          <w:szCs w:val="22"/>
        </w:rPr>
        <w:t xml:space="preserve"> Design Lights Consortium (DLC) defines the UL Type A as</w:t>
      </w:r>
      <w:r w:rsidR="00A710B8">
        <w:rPr>
          <w:rFonts w:cstheme="minorHAnsi"/>
          <w:szCs w:val="22"/>
        </w:rPr>
        <w:t xml:space="preserve"> a</w:t>
      </w:r>
      <w:r>
        <w:rPr>
          <w:rFonts w:cstheme="minorHAnsi"/>
          <w:i/>
          <w:szCs w:val="22"/>
        </w:rPr>
        <w:t xml:space="preserve"> </w:t>
      </w:r>
      <w:r w:rsidRPr="007826D5">
        <w:rPr>
          <w:rFonts w:cstheme="minorHAnsi"/>
          <w:szCs w:val="22"/>
        </w:rPr>
        <w:t>f</w:t>
      </w:r>
      <w:r w:rsidR="00020B4B" w:rsidRPr="007826D5">
        <w:t>our</w:t>
      </w:r>
      <w:r w:rsidR="00A710B8">
        <w:t>-foot or two-foot LED "tube</w:t>
      </w:r>
      <w:r w:rsidR="00020B4B" w:rsidRPr="00A72BFF">
        <w:t xml:space="preserve">" designed to replace </w:t>
      </w:r>
      <w:r w:rsidR="00A710B8">
        <w:t xml:space="preserve">a </w:t>
      </w:r>
      <w:r w:rsidR="00020B4B" w:rsidRPr="00A72BFF">
        <w:t xml:space="preserve">four-foot or two-foot fluorescent lamp, respectively. Products in this category </w:t>
      </w:r>
      <w:r w:rsidR="00413DE5">
        <w:t>utilize</w:t>
      </w:r>
      <w:r w:rsidR="00020B4B" w:rsidRPr="00A72BFF">
        <w:t xml:space="preserve"> lamp holders to connect to the fixture being </w:t>
      </w:r>
      <w:proofErr w:type="spellStart"/>
      <w:r w:rsidR="00FD735E">
        <w:t>relamped</w:t>
      </w:r>
      <w:proofErr w:type="spellEnd"/>
      <w:r w:rsidR="00FD735E" w:rsidRPr="00A72BFF">
        <w:t xml:space="preserve"> </w:t>
      </w:r>
      <w:r w:rsidR="00020B4B" w:rsidRPr="00A72BFF">
        <w:t xml:space="preserve">and are designed to be "plug and play" replacements for fluorescent lamps. That is, products in this category can operate off </w:t>
      </w:r>
      <w:r w:rsidR="00A710B8">
        <w:t>an existing fluorescent ballast</w:t>
      </w:r>
      <w:r w:rsidR="00020B4B" w:rsidRPr="00A72BFF">
        <w:t xml:space="preserve"> and do not require mechanical or electrical changes to the fixture. </w:t>
      </w:r>
      <w:r w:rsidR="00DE4DA3">
        <w:t xml:space="preserve">The figure below </w:t>
      </w:r>
      <w:r w:rsidR="00413DE5">
        <w:t>illustrates</w:t>
      </w:r>
      <w:r>
        <w:t xml:space="preserve"> the UL Type A configuration.</w:t>
      </w:r>
    </w:p>
    <w:p w14:paraId="4BF38F92" w14:textId="235CAF02" w:rsidR="00A51A63" w:rsidRDefault="00FD735E">
      <w:pPr>
        <w:pStyle w:val="Caption"/>
      </w:pPr>
      <w:r>
        <w:rPr>
          <w:noProof/>
        </w:rPr>
        <w:drawing>
          <wp:inline distT="0" distB="0" distL="0" distR="0" wp14:anchorId="003D9EFD" wp14:editId="32580101">
            <wp:extent cx="4613973" cy="246522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638289" cy="2478214"/>
                    </a:xfrm>
                    <a:prstGeom prst="rect">
                      <a:avLst/>
                    </a:prstGeom>
                  </pic:spPr>
                </pic:pic>
              </a:graphicData>
            </a:graphic>
          </wp:inline>
        </w:drawing>
      </w:r>
      <w:r w:rsidR="00A51A63" w:rsidRPr="00A51A63">
        <w:t xml:space="preserve"> </w:t>
      </w:r>
    </w:p>
    <w:p w14:paraId="7126773C" w14:textId="3B9E88D1" w:rsidR="00A51A63" w:rsidRPr="00A72BFF" w:rsidRDefault="00A51A63">
      <w:pPr>
        <w:pStyle w:val="Caption"/>
        <w:rPr>
          <w:i/>
        </w:rPr>
      </w:pPr>
      <w:r w:rsidRPr="00A72BFF">
        <w:t>UL Type A Configuration</w:t>
      </w:r>
    </w:p>
    <w:p w14:paraId="1CFDE04A" w14:textId="256FE0AA" w:rsidR="00A72BFF" w:rsidRDefault="00A72BFF" w:rsidP="00AB6C99"/>
    <w:p w14:paraId="42150EBC" w14:textId="3FAD3DF0" w:rsidR="00AB7A60" w:rsidRDefault="00AB7A60" w:rsidP="00C24515">
      <w:r>
        <w:t xml:space="preserve">Two </w:t>
      </w:r>
      <w:r w:rsidR="00DE4DA3">
        <w:t xml:space="preserve">U.S. </w:t>
      </w:r>
      <w:r>
        <w:t>Department of Energy</w:t>
      </w:r>
      <w:r w:rsidR="00DE4DA3">
        <w:t xml:space="preserve"> (DOE)</w:t>
      </w:r>
      <w:r>
        <w:t xml:space="preserve"> </w:t>
      </w:r>
      <w:proofErr w:type="spellStart"/>
      <w:r>
        <w:t>CALiPER</w:t>
      </w:r>
      <w:proofErr w:type="spellEnd"/>
      <w:r>
        <w:t xml:space="preserve"> studies related to LED tubes application and cost effectiveness provide context related to the quickly evolving improvement in LED lamps as well as the analysis related to applications where they are most cost effective.</w:t>
      </w:r>
      <w:r w:rsidR="00624233">
        <w:rPr>
          <w:rStyle w:val="FootnoteReference"/>
        </w:rPr>
        <w:footnoteReference w:id="1"/>
      </w:r>
      <w:r>
        <w:t xml:space="preserve"> </w:t>
      </w:r>
    </w:p>
    <w:p w14:paraId="6D7F361F" w14:textId="1C9A0772" w:rsidR="00AB7A60" w:rsidRDefault="00AB7A60" w:rsidP="00AB7A60">
      <w:r>
        <w:t>Additionally, two studies funded through the Emerging Technolog</w:t>
      </w:r>
      <w:r w:rsidR="00C24515">
        <w:t>ies</w:t>
      </w:r>
      <w:r>
        <w:t xml:space="preserve"> Program provide the basis for savings and quality of installation considered for this measure. </w:t>
      </w:r>
    </w:p>
    <w:p w14:paraId="1C1F86CF" w14:textId="06F5ADBE" w:rsidR="00AB7A60" w:rsidRPr="00EF3251" w:rsidRDefault="00AB7A60" w:rsidP="00134424">
      <w:r w:rsidRPr="00524992">
        <w:rPr>
          <w:b/>
          <w:i/>
        </w:rPr>
        <w:lastRenderedPageBreak/>
        <w:t>Linear LED Lamps – Laboratory Performance Assessment (Southern California Edison, 2015)</w:t>
      </w:r>
      <w:r w:rsidRPr="00AB7A60">
        <w:rPr>
          <w:b/>
        </w:rPr>
        <w:t>.</w:t>
      </w:r>
      <w:r w:rsidR="007E4C38" w:rsidRPr="00524992">
        <w:rPr>
          <w:rStyle w:val="FootnoteReference"/>
        </w:rPr>
        <w:footnoteReference w:id="2"/>
      </w:r>
      <w:r w:rsidRPr="00524992">
        <w:t xml:space="preserve"> </w:t>
      </w:r>
      <w:r w:rsidRPr="00AB7A60">
        <w:rPr>
          <w:b/>
        </w:rPr>
        <w:t xml:space="preserve"> </w:t>
      </w:r>
      <w:r w:rsidR="00C24515">
        <w:t xml:space="preserve">This performance assessment of linear LED lamps, conducted by Southern California Edison </w:t>
      </w:r>
      <w:r w:rsidR="00DE4DA3">
        <w:t xml:space="preserve">(SCE) </w:t>
      </w:r>
      <w:r w:rsidR="00C24515">
        <w:t xml:space="preserve">through the Emerging Technologies Program, assessed </w:t>
      </w:r>
      <w:r w:rsidR="00134424">
        <w:t>long-term degradation of l</w:t>
      </w:r>
      <w:r w:rsidRPr="00EF3251">
        <w:t xml:space="preserve">inear LED </w:t>
      </w:r>
      <w:r w:rsidR="00134424">
        <w:t>t</w:t>
      </w:r>
      <w:r w:rsidRPr="00EF3251">
        <w:t>ube replacement lamps (</w:t>
      </w:r>
      <w:r w:rsidR="00134424">
        <w:t>b</w:t>
      </w:r>
      <w:r w:rsidRPr="00EF3251">
        <w:t xml:space="preserve">allast </w:t>
      </w:r>
      <w:r w:rsidR="00134424">
        <w:t>c</w:t>
      </w:r>
      <w:r w:rsidRPr="00EF3251">
        <w:t xml:space="preserve">ompatible, </w:t>
      </w:r>
      <w:r w:rsidR="00A51A63">
        <w:t>in</w:t>
      </w:r>
      <w:r w:rsidR="00A51A63" w:rsidRPr="00EF3251">
        <w:t>ternal</w:t>
      </w:r>
      <w:r w:rsidRPr="00EF3251">
        <w:t xml:space="preserve"> </w:t>
      </w:r>
      <w:r w:rsidR="00134424">
        <w:t>d</w:t>
      </w:r>
      <w:r w:rsidRPr="00EF3251">
        <w:t xml:space="preserve">river, </w:t>
      </w:r>
      <w:r w:rsidR="00134424">
        <w:t>e</w:t>
      </w:r>
      <w:r w:rsidRPr="00EF3251">
        <w:t xml:space="preserve">xternal </w:t>
      </w:r>
      <w:r w:rsidR="00134424">
        <w:t>d</w:t>
      </w:r>
      <w:r w:rsidRPr="00EF3251">
        <w:t>river)</w:t>
      </w:r>
      <w:r w:rsidR="00134424">
        <w:t>. This assessment included p</w:t>
      </w:r>
      <w:r w:rsidRPr="00EF3251">
        <w:t xml:space="preserve">hotometric and </w:t>
      </w:r>
      <w:r w:rsidR="00134424">
        <w:t>e</w:t>
      </w:r>
      <w:r w:rsidRPr="00EF3251">
        <w:t xml:space="preserve">lectrical </w:t>
      </w:r>
      <w:r w:rsidR="00134424">
        <w:t>m</w:t>
      </w:r>
      <w:r w:rsidRPr="00EF3251">
        <w:t>easurements</w:t>
      </w:r>
      <w:r w:rsidR="00134424">
        <w:t xml:space="preserve"> and testing of lamps from multiple manufacturers. </w:t>
      </w:r>
    </w:p>
    <w:p w14:paraId="7612C322" w14:textId="5B8D73BB" w:rsidR="00AB7A60" w:rsidRDefault="00AB7A60" w:rsidP="00AB7A60">
      <w:r>
        <w:t xml:space="preserve">Based on the long-term testing, no major lumen degradation </w:t>
      </w:r>
      <w:r w:rsidR="00C24515">
        <w:t>was</w:t>
      </w:r>
      <w:r>
        <w:t xml:space="preserve"> </w:t>
      </w:r>
      <w:r w:rsidR="00DE4DA3">
        <w:t>observed,</w:t>
      </w:r>
      <w:r>
        <w:t xml:space="preserve"> and no negative effects were observed for the fluorescent ballasts after </w:t>
      </w:r>
      <w:r w:rsidR="00C24515">
        <w:t>approximately</w:t>
      </w:r>
      <w:r>
        <w:t xml:space="preserve"> 3,500 hours of cycled testing. Measured temperatures of the lamps and ballast </w:t>
      </w:r>
      <w:r w:rsidR="00C24515">
        <w:t>remained</w:t>
      </w:r>
      <w:r>
        <w:t xml:space="preserve"> stable </w:t>
      </w:r>
      <w:r w:rsidR="00C24515">
        <w:t xml:space="preserve">throughout </w:t>
      </w:r>
      <w:r>
        <w:t xml:space="preserve">the test. </w:t>
      </w:r>
    </w:p>
    <w:p w14:paraId="28F48EFE" w14:textId="6BE91AE1" w:rsidR="00AB7A60" w:rsidRDefault="00AB7A60" w:rsidP="00524992">
      <w:r>
        <w:t xml:space="preserve">Temperature measurements </w:t>
      </w:r>
      <w:r w:rsidR="00C24515">
        <w:t xml:space="preserve">that were </w:t>
      </w:r>
      <w:r>
        <w:t>taken inside four different open fixtures in various lamp configurations showed that LEDs have considerably lower temperature than the linear fluorescent lamps. LED lamps were below 100</w:t>
      </w:r>
      <w:r w:rsidR="00C24515">
        <w:t xml:space="preserve"> </w:t>
      </w:r>
      <w:r>
        <w:t>°F while linear fluorescent lamps were greater than 125</w:t>
      </w:r>
      <w:r w:rsidR="00C24515">
        <w:t xml:space="preserve"> </w:t>
      </w:r>
      <w:r>
        <w:t>°F. LED T8 lamps perform</w:t>
      </w:r>
      <w:r w:rsidR="00C24515">
        <w:t>ed better</w:t>
      </w:r>
      <w:r>
        <w:t xml:space="preserve"> across the entire dimming range than linear fluorescent lamps in terms of efficacy and visible flicker. The figure below shows the internal fixture ambient temperature of the LED and Linear Fluorescent lamps.</w:t>
      </w:r>
    </w:p>
    <w:p w14:paraId="5E38DCF0" w14:textId="77777777" w:rsidR="00AB7A60" w:rsidRDefault="00AB7A60" w:rsidP="00C24515">
      <w:r>
        <w:rPr>
          <w:noProof/>
        </w:rPr>
        <w:drawing>
          <wp:inline distT="0" distB="0" distL="0" distR="0" wp14:anchorId="1B622CB8" wp14:editId="3772114D">
            <wp:extent cx="6011325" cy="41664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8">
                      <a:extLst>
                        <a:ext uri="{28A0092B-C50C-407E-A947-70E740481C1C}">
                          <a14:useLocalDpi xmlns:a14="http://schemas.microsoft.com/office/drawing/2010/main" val="0"/>
                        </a:ext>
                      </a:extLst>
                    </a:blip>
                    <a:srcRect l="1266" t="5695" r="1487" b="1500"/>
                    <a:stretch/>
                  </pic:blipFill>
                  <pic:spPr bwMode="auto">
                    <a:xfrm>
                      <a:off x="0" y="0"/>
                      <a:ext cx="6057610" cy="4198540"/>
                    </a:xfrm>
                    <a:prstGeom prst="rect">
                      <a:avLst/>
                    </a:prstGeom>
                    <a:noFill/>
                    <a:ln>
                      <a:noFill/>
                    </a:ln>
                    <a:extLst>
                      <a:ext uri="{53640926-AAD7-44D8-BBD7-CCE9431645EC}">
                        <a14:shadowObscured xmlns:a14="http://schemas.microsoft.com/office/drawing/2010/main"/>
                      </a:ext>
                    </a:extLst>
                  </pic:spPr>
                </pic:pic>
              </a:graphicData>
            </a:graphic>
          </wp:inline>
        </w:drawing>
      </w:r>
    </w:p>
    <w:p w14:paraId="789D6377" w14:textId="77777777" w:rsidR="00524992" w:rsidRPr="00167A16" w:rsidRDefault="00524992">
      <w:pPr>
        <w:pStyle w:val="Caption"/>
      </w:pPr>
      <w:r w:rsidRPr="00167A16">
        <w:lastRenderedPageBreak/>
        <w:t>Internal Fixture Ambient Temperature</w:t>
      </w:r>
      <w:r>
        <w:t xml:space="preserve"> (Run Time = 5.75 hours)</w:t>
      </w:r>
    </w:p>
    <w:p w14:paraId="4680CFE9" w14:textId="77777777" w:rsidR="00AB7A60" w:rsidRDefault="00AB7A60" w:rsidP="00AB7A60"/>
    <w:p w14:paraId="75005ED0" w14:textId="4F4E712A" w:rsidR="00AB7A60" w:rsidRDefault="00DE4DA3" w:rsidP="00AB7A60">
      <w:r>
        <w:t>The figure below reveals</w:t>
      </w:r>
      <w:r w:rsidR="00AB7A60">
        <w:t xml:space="preserve"> the current </w:t>
      </w:r>
      <w:r w:rsidR="00A51A63">
        <w:t>t</w:t>
      </w:r>
      <w:r w:rsidR="00AB7A60">
        <w:t xml:space="preserve">otal </w:t>
      </w:r>
      <w:r w:rsidR="00A51A63">
        <w:t>h</w:t>
      </w:r>
      <w:r w:rsidR="00AB7A60">
        <w:t xml:space="preserve">armonic </w:t>
      </w:r>
      <w:r w:rsidR="00A51A63">
        <w:t>d</w:t>
      </w:r>
      <w:r w:rsidR="00AB7A60">
        <w:t>istortion (</w:t>
      </w:r>
      <w:proofErr w:type="spellStart"/>
      <w:r w:rsidR="00AB7A60">
        <w:t>THDi</w:t>
      </w:r>
      <w:proofErr w:type="spellEnd"/>
      <w:r w:rsidR="00AB7A60">
        <w:t xml:space="preserve">) caused by each of the lamps on a </w:t>
      </w:r>
      <w:r>
        <w:t>two</w:t>
      </w:r>
      <w:r w:rsidR="00AB7A60">
        <w:t>-lamp setup. Ballast</w:t>
      </w:r>
      <w:r w:rsidR="00C24515">
        <w:t>-</w:t>
      </w:r>
      <w:r w:rsidR="00AB7A60">
        <w:t xml:space="preserve">compatible lamps performed similar to linear fluorescent lamps and showed no negative signs. </w:t>
      </w:r>
    </w:p>
    <w:p w14:paraId="33C7F4E9" w14:textId="77777777" w:rsidR="00AB7A60" w:rsidRDefault="00AB7A60" w:rsidP="00AB7A60">
      <w:r>
        <w:rPr>
          <w:noProof/>
        </w:rPr>
        <w:drawing>
          <wp:inline distT="0" distB="0" distL="0" distR="0" wp14:anchorId="44E81058" wp14:editId="016F4C94">
            <wp:extent cx="2587587" cy="195033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9">
                      <a:extLst>
                        <a:ext uri="{28A0092B-C50C-407E-A947-70E740481C1C}">
                          <a14:useLocalDpi xmlns:a14="http://schemas.microsoft.com/office/drawing/2010/main" val="0"/>
                        </a:ext>
                      </a:extLst>
                    </a:blip>
                    <a:srcRect t="18259"/>
                    <a:stretch/>
                  </pic:blipFill>
                  <pic:spPr bwMode="auto">
                    <a:xfrm>
                      <a:off x="0" y="0"/>
                      <a:ext cx="2639531" cy="1989486"/>
                    </a:xfrm>
                    <a:prstGeom prst="rect">
                      <a:avLst/>
                    </a:prstGeom>
                    <a:noFill/>
                    <a:ln>
                      <a:noFill/>
                    </a:ln>
                    <a:extLst>
                      <a:ext uri="{53640926-AAD7-44D8-BBD7-CCE9431645EC}">
                        <a14:shadowObscured xmlns:a14="http://schemas.microsoft.com/office/drawing/2010/main"/>
                      </a:ext>
                    </a:extLst>
                  </pic:spPr>
                </pic:pic>
              </a:graphicData>
            </a:graphic>
          </wp:inline>
        </w:drawing>
      </w:r>
    </w:p>
    <w:p w14:paraId="4D0B5F50" w14:textId="77777777" w:rsidR="00524992" w:rsidRPr="00C24515" w:rsidRDefault="00524992">
      <w:pPr>
        <w:pStyle w:val="Caption"/>
      </w:pPr>
      <w:r>
        <w:t>Average</w:t>
      </w:r>
      <w:r w:rsidRPr="00C24515">
        <w:t xml:space="preserve"> </w:t>
      </w:r>
      <w:proofErr w:type="spellStart"/>
      <w:r w:rsidRPr="00C24515">
        <w:t>THDi</w:t>
      </w:r>
      <w:proofErr w:type="spellEnd"/>
      <w:r w:rsidRPr="00C24515">
        <w:t xml:space="preserve"> </w:t>
      </w:r>
      <w:r>
        <w:t xml:space="preserve">% </w:t>
      </w:r>
      <w:r w:rsidRPr="00C24515">
        <w:t>of 2-Lamp Tests</w:t>
      </w:r>
    </w:p>
    <w:p w14:paraId="190B54DB" w14:textId="77777777" w:rsidR="00AB7A60" w:rsidRDefault="00AB7A60" w:rsidP="00AB7A60"/>
    <w:p w14:paraId="62C3109A" w14:textId="3E554DF8" w:rsidR="00AB7A60" w:rsidRPr="008778B0" w:rsidRDefault="00DE4DA3" w:rsidP="00272F7D">
      <w:r>
        <w:t>The figure below plots</w:t>
      </w:r>
      <w:r w:rsidR="00AB7A60">
        <w:t xml:space="preserve"> the </w:t>
      </w:r>
      <w:r w:rsidR="00C24515">
        <w:t>b</w:t>
      </w:r>
      <w:r w:rsidR="00AB7A60">
        <w:t xml:space="preserve">allast </w:t>
      </w:r>
      <w:r w:rsidR="00C24515">
        <w:t>l</w:t>
      </w:r>
      <w:r w:rsidR="00AB7A60">
        <w:t xml:space="preserve">uminous </w:t>
      </w:r>
      <w:r w:rsidR="00C24515">
        <w:t>e</w:t>
      </w:r>
      <w:r w:rsidR="00AB7A60">
        <w:t xml:space="preserve">fficacy (BLE) of the </w:t>
      </w:r>
      <w:r w:rsidR="00C24515">
        <w:t xml:space="preserve">tested </w:t>
      </w:r>
      <w:r w:rsidR="00AB7A60">
        <w:t>LED T8 lamps.</w:t>
      </w:r>
      <w:r w:rsidR="00AB7A60" w:rsidRPr="008778B0">
        <w:t xml:space="preserve"> After eight months of continuous </w:t>
      </w:r>
      <w:r w:rsidR="00C24515">
        <w:t>ON/OFF</w:t>
      </w:r>
      <w:r w:rsidR="00AB7A60" w:rsidRPr="008778B0">
        <w:t xml:space="preserve"> fixture cycling with 3</w:t>
      </w:r>
      <w:r w:rsidR="00C24515">
        <w:t>,</w:t>
      </w:r>
      <w:r w:rsidR="00AB7A60" w:rsidRPr="008778B0">
        <w:t>500 hours of on-time operation, the BLE measurements, which measure the ratio of electrical output to electrical input as defined by DOE test procedures, indicate that the fluorescent ballast</w:t>
      </w:r>
      <w:r w:rsidR="00134424">
        <w:t>s</w:t>
      </w:r>
      <w:r w:rsidR="00AB7A60" w:rsidRPr="008778B0">
        <w:t xml:space="preserve"> </w:t>
      </w:r>
      <w:r w:rsidR="00C24515">
        <w:t>were not</w:t>
      </w:r>
      <w:r w:rsidR="00AB7A60" w:rsidRPr="008778B0">
        <w:t xml:space="preserve"> affected by the operation of replacement LED tubes. The BLE values obtained from </w:t>
      </w:r>
      <w:r w:rsidR="00AB7A60">
        <w:t>lab</w:t>
      </w:r>
      <w:r w:rsidR="00AB7A60" w:rsidRPr="008778B0">
        <w:t xml:space="preserve"> testing with LED </w:t>
      </w:r>
      <w:r w:rsidR="00AB7A60">
        <w:t>T8 lamps</w:t>
      </w:r>
      <w:r w:rsidR="00AB7A60" w:rsidRPr="008778B0">
        <w:t xml:space="preserve"> are consistent with typical BLE values observed on the fluorescent ballasts when operating with T8 fluorescent lamps (above 80%). This </w:t>
      </w:r>
      <w:r w:rsidR="00C24515">
        <w:t>figure</w:t>
      </w:r>
      <w:r w:rsidR="00AB7A60" w:rsidRPr="008778B0">
        <w:t xml:space="preserve"> demonstrates that there is no indication that replacement LED tubes degrade the performance of compatible fluorescent ballasts.</w:t>
      </w:r>
    </w:p>
    <w:p w14:paraId="554C060E" w14:textId="77777777" w:rsidR="00AB7A60" w:rsidRDefault="00AB7A60" w:rsidP="00AB7A60">
      <w:r>
        <w:rPr>
          <w:noProof/>
        </w:rPr>
        <w:drawing>
          <wp:inline distT="0" distB="0" distL="0" distR="0" wp14:anchorId="2FE48166" wp14:editId="1CFD1976">
            <wp:extent cx="5708523" cy="2957332"/>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40284" cy="2973786"/>
                    </a:xfrm>
                    <a:prstGeom prst="rect">
                      <a:avLst/>
                    </a:prstGeom>
                    <a:ln>
                      <a:noFill/>
                    </a:ln>
                  </pic:spPr>
                </pic:pic>
              </a:graphicData>
            </a:graphic>
          </wp:inline>
        </w:drawing>
      </w:r>
    </w:p>
    <w:p w14:paraId="67CA5BEC" w14:textId="77777777" w:rsidR="00524992" w:rsidRPr="00894539" w:rsidRDefault="00524992">
      <w:pPr>
        <w:pStyle w:val="Caption"/>
      </w:pPr>
      <w:r w:rsidRPr="00894539">
        <w:lastRenderedPageBreak/>
        <w:t>Ballast Luminous Efficacy</w:t>
      </w:r>
    </w:p>
    <w:p w14:paraId="609127AB" w14:textId="77777777" w:rsidR="00AB7A60" w:rsidRDefault="00AB7A60" w:rsidP="00272F7D"/>
    <w:p w14:paraId="3BABAA21" w14:textId="1A3168D8" w:rsidR="00AB7A60" w:rsidRPr="00EE23B2" w:rsidRDefault="00AB7A60" w:rsidP="00AB7A60">
      <w:bookmarkStart w:id="9" w:name="_Hlk519153631"/>
      <w:bookmarkStart w:id="10" w:name="_Hlk6480986"/>
      <w:r w:rsidRPr="00524992">
        <w:rPr>
          <w:b/>
          <w:i/>
        </w:rPr>
        <w:t>LED Tube Retrofit Scaled Field Placement (SFP)</w:t>
      </w:r>
      <w:bookmarkEnd w:id="9"/>
      <w:r w:rsidR="00524992" w:rsidRPr="00524992">
        <w:rPr>
          <w:b/>
          <w:i/>
        </w:rPr>
        <w:t xml:space="preserve"> (</w:t>
      </w:r>
      <w:r w:rsidR="00134424" w:rsidRPr="00524992">
        <w:rPr>
          <w:b/>
          <w:i/>
        </w:rPr>
        <w:t>Southern California Edison</w:t>
      </w:r>
      <w:r w:rsidR="00524992" w:rsidRPr="00524992">
        <w:rPr>
          <w:b/>
          <w:i/>
        </w:rPr>
        <w:t xml:space="preserve">, </w:t>
      </w:r>
      <w:r w:rsidR="00134424" w:rsidRPr="00524992">
        <w:rPr>
          <w:b/>
          <w:i/>
        </w:rPr>
        <w:t>2016)</w:t>
      </w:r>
      <w:bookmarkEnd w:id="10"/>
      <w:r w:rsidR="00EE23B2" w:rsidRPr="00524992">
        <w:rPr>
          <w:b/>
          <w:i/>
        </w:rPr>
        <w:t>.</w:t>
      </w:r>
      <w:r w:rsidR="007E4C38" w:rsidRPr="00524992">
        <w:rPr>
          <w:rStyle w:val="FootnoteReference"/>
        </w:rPr>
        <w:footnoteReference w:id="3"/>
      </w:r>
      <w:r w:rsidR="00EE23B2">
        <w:rPr>
          <w:b/>
        </w:rPr>
        <w:t xml:space="preserve"> </w:t>
      </w:r>
      <w:r w:rsidR="00EE23B2">
        <w:t xml:space="preserve">This field study was conducted by </w:t>
      </w:r>
      <w:r w:rsidR="00DE4DA3">
        <w:t>SCE</w:t>
      </w:r>
      <w:r w:rsidR="00EE23B2">
        <w:t xml:space="preserve"> through the Emerging Technologies Program to determine the remaining useful life (RUL) and average lamp wattage, and customer satisfaction from a sample of retrofit projects conducted in 2016. </w:t>
      </w:r>
    </w:p>
    <w:p w14:paraId="7FDDA19A" w14:textId="0C5F4FCC" w:rsidR="00AB7A60" w:rsidRDefault="00EE23B2" w:rsidP="00AB7A60">
      <w:r>
        <w:t>Eligibility requirements for projects included in the</w:t>
      </w:r>
      <w:r w:rsidR="00AB7A60">
        <w:t xml:space="preserve"> LED Tube Retrofit </w:t>
      </w:r>
      <w:r w:rsidR="00C24515">
        <w:t>Scaled Field Placement (SFP)</w:t>
      </w:r>
      <w:r>
        <w:t xml:space="preserve"> that were executed by SCE account managers are noted below</w:t>
      </w:r>
      <w:r w:rsidR="00AB7A60">
        <w:t>.</w:t>
      </w:r>
      <w:r w:rsidR="007E4C38">
        <w:rPr>
          <w:rStyle w:val="FootnoteReference"/>
        </w:rPr>
        <w:footnoteReference w:id="4"/>
      </w:r>
    </w:p>
    <w:p w14:paraId="73B32B3F" w14:textId="77777777" w:rsidR="00AB7A60" w:rsidRDefault="00AB7A60" w:rsidP="00DE0413">
      <w:pPr>
        <w:pStyle w:val="eTRMBulletedText"/>
      </w:pPr>
      <w:r>
        <w:t>LED T8 lamp must be a Type A</w:t>
      </w:r>
    </w:p>
    <w:p w14:paraId="3B8EF26B" w14:textId="77777777" w:rsidR="00AB7A60" w:rsidRDefault="00AB7A60" w:rsidP="00DE0413">
      <w:pPr>
        <w:pStyle w:val="eTRMBulletedText"/>
      </w:pPr>
      <w:r>
        <w:t>Must use existing linear fluorescent ballast</w:t>
      </w:r>
    </w:p>
    <w:p w14:paraId="75F6C750" w14:textId="77777777" w:rsidR="00AB7A60" w:rsidRDefault="00AB7A60" w:rsidP="00DE0413">
      <w:pPr>
        <w:pStyle w:val="eTRMBulletedText"/>
      </w:pPr>
      <w:r>
        <w:t>4-foot long</w:t>
      </w:r>
    </w:p>
    <w:p w14:paraId="17493D1A" w14:textId="77777777" w:rsidR="00AB7A60" w:rsidRDefault="00AB7A60" w:rsidP="00DE0413">
      <w:pPr>
        <w:pStyle w:val="eTRMBulletedText"/>
      </w:pPr>
      <w:r>
        <w:t xml:space="preserve">Required check for ballast compatibility </w:t>
      </w:r>
    </w:p>
    <w:p w14:paraId="6FB9DDCB" w14:textId="77777777" w:rsidR="00AB7A60" w:rsidRDefault="00AB7A60" w:rsidP="00DE0413">
      <w:pPr>
        <w:pStyle w:val="eTRMBulletedText"/>
      </w:pPr>
      <w:r>
        <w:t>Dimmable ballast if existing system was dimmable</w:t>
      </w:r>
    </w:p>
    <w:p w14:paraId="487E9C4C" w14:textId="77777777" w:rsidR="00AB7A60" w:rsidRDefault="00AB7A60" w:rsidP="00DE0413">
      <w:pPr>
        <w:pStyle w:val="eTRMBulletedText"/>
      </w:pPr>
      <w:r>
        <w:t>Warranty on QPL must match the specification sheet</w:t>
      </w:r>
    </w:p>
    <w:p w14:paraId="3C3EEAA6" w14:textId="0853789A" w:rsidR="00AB7A60" w:rsidRDefault="00AB7A60" w:rsidP="00DE0413">
      <w:pPr>
        <w:pStyle w:val="eTRMBulletedText"/>
      </w:pPr>
      <w:r>
        <w:t xml:space="preserve">Lamps were to only be installed in pre-qualified fixture types such as strip, cove, wrap, and </w:t>
      </w:r>
      <w:r w:rsidR="00345E29">
        <w:t xml:space="preserve">other </w:t>
      </w:r>
      <w:r>
        <w:t>troffers</w:t>
      </w:r>
      <w:r w:rsidR="00345E29">
        <w:t xml:space="preserve"> such as parabolic, volumetric, basket, prismatic etc.</w:t>
      </w:r>
    </w:p>
    <w:p w14:paraId="54BCB061" w14:textId="77777777" w:rsidR="00AB7A60" w:rsidRDefault="00AB7A60" w:rsidP="00CA77BD"/>
    <w:p w14:paraId="398BA07D" w14:textId="66742A86" w:rsidR="00AB7A60" w:rsidRDefault="004B3F71" w:rsidP="00AB7A60">
      <w:r>
        <w:t>D</w:t>
      </w:r>
      <w:r w:rsidR="00AB7A60">
        <w:t>ata such as baseline/measure information, type of fixture, pre/post light measurement, and ballast life were gathered</w:t>
      </w:r>
      <w:r>
        <w:t xml:space="preserve"> throughout the course of the SFP study</w:t>
      </w:r>
      <w:r w:rsidR="00AB7A60">
        <w:t>.</w:t>
      </w:r>
      <w:r w:rsidR="007E4C38">
        <w:rPr>
          <w:rStyle w:val="FootnoteReference"/>
        </w:rPr>
        <w:footnoteReference w:id="5"/>
      </w:r>
      <w:r w:rsidR="00E2602D">
        <w:t xml:space="preserve"> Ballast age</w:t>
      </w:r>
      <w:r w:rsidR="00AB7A60">
        <w:t xml:space="preserve"> was </w:t>
      </w:r>
      <w:r w:rsidR="00DE0413">
        <w:t xml:space="preserve">recorded </w:t>
      </w:r>
      <w:r w:rsidR="00AB7A60">
        <w:t xml:space="preserve">from the date stamp on the ballast or </w:t>
      </w:r>
      <w:r w:rsidR="00DE0413">
        <w:t xml:space="preserve">provided </w:t>
      </w:r>
      <w:r w:rsidR="00AB7A60">
        <w:t xml:space="preserve">verbally </w:t>
      </w:r>
      <w:r w:rsidR="00DE0413">
        <w:t>by</w:t>
      </w:r>
      <w:r w:rsidR="00AB7A60">
        <w:t xml:space="preserve"> the customer. Averaging all the remaining useful life </w:t>
      </w:r>
      <w:r w:rsidR="00DE0413">
        <w:t xml:space="preserve">(RUL) </w:t>
      </w:r>
      <w:r w:rsidR="00AB7A60">
        <w:t>of the ballasts resulted in a RUL of 6.9 years</w:t>
      </w:r>
      <w:r w:rsidR="00DE0413">
        <w:t xml:space="preserve"> (</w:t>
      </w:r>
      <w:r w:rsidR="00AB7A60">
        <w:t>which is higher than the typical lamp life of 20,000 hours</w:t>
      </w:r>
      <w:r w:rsidR="00DE0413">
        <w:t xml:space="preserve"> assumed for </w:t>
      </w:r>
      <w:r w:rsidR="00806251">
        <w:t xml:space="preserve">the Database for Energy Efficient Resources, </w:t>
      </w:r>
      <w:r w:rsidR="00DE0413">
        <w:t>DEER)</w:t>
      </w:r>
      <w:r w:rsidR="00AB7A60">
        <w:t xml:space="preserve">. </w:t>
      </w:r>
    </w:p>
    <w:p w14:paraId="150C6376" w14:textId="41F21DA8" w:rsidR="00AB7A60" w:rsidRDefault="00DE4DA3" w:rsidP="00AB7A60">
      <w:r>
        <w:rPr>
          <w:noProof/>
        </w:rPr>
        <w:drawing>
          <wp:anchor distT="0" distB="0" distL="114300" distR="114300" simplePos="0" relativeHeight="251658240" behindDoc="1" locked="0" layoutInCell="1" allowOverlap="1" wp14:anchorId="4D64A8EF" wp14:editId="276893ED">
            <wp:simplePos x="0" y="0"/>
            <wp:positionH relativeFrom="column">
              <wp:posOffset>2502535</wp:posOffset>
            </wp:positionH>
            <wp:positionV relativeFrom="paragraph">
              <wp:posOffset>492125</wp:posOffset>
            </wp:positionV>
            <wp:extent cx="3559175" cy="2343150"/>
            <wp:effectExtent l="0" t="0" r="3175" b="0"/>
            <wp:wrapTight wrapText="bothSides">
              <wp:wrapPolygon edited="0">
                <wp:start x="0" y="0"/>
                <wp:lineTo x="0" y="21424"/>
                <wp:lineTo x="21504" y="21424"/>
                <wp:lineTo x="21504" y="0"/>
                <wp:lineTo x="0" y="0"/>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559175" cy="2343150"/>
                    </a:xfrm>
                    <a:prstGeom prst="rect">
                      <a:avLst/>
                    </a:prstGeom>
                    <a:ln>
                      <a:noFill/>
                    </a:ln>
                    <a:effectLst>
                      <a:softEdge rad="0"/>
                    </a:effectLst>
                  </pic:spPr>
                </pic:pic>
              </a:graphicData>
            </a:graphic>
          </wp:anchor>
        </w:drawing>
      </w:r>
      <w:r w:rsidR="00AB7A60">
        <w:t xml:space="preserve">A follow-up review occurred </w:t>
      </w:r>
      <w:r w:rsidR="00DE0413">
        <w:t>six</w:t>
      </w:r>
      <w:r w:rsidR="00AB7A60">
        <w:t xml:space="preserve"> weeks after installation to monitor ballast replacements. Although 95% were unchanged, fewer than 2% were replaced within the </w:t>
      </w:r>
      <w:r w:rsidR="00DE0413">
        <w:t>six</w:t>
      </w:r>
      <w:r w:rsidR="00AB7A60">
        <w:t xml:space="preserve">-week period and fewer than 1% were replaced within the </w:t>
      </w:r>
      <w:r w:rsidR="00DE0413">
        <w:t>one</w:t>
      </w:r>
      <w:r w:rsidR="00AB7A60">
        <w:t xml:space="preserve">-year or 4,380 hours follow up. Note that 4% were initially replaced due to compatibility issues as shown in figure below. Program </w:t>
      </w:r>
      <w:r w:rsidR="00DE0413">
        <w:t>r</w:t>
      </w:r>
      <w:r w:rsidR="00AB7A60">
        <w:t xml:space="preserve">equirements for this measure address this potential compatibility problem by requiring that the LED T8 lamp documentation to provide a list of compatible ballast model numbers. Note that the compatible ballast testing will also address the potential </w:t>
      </w:r>
      <w:r w:rsidR="00AB7A60">
        <w:lastRenderedPageBreak/>
        <w:t>issue of mis-matching differing ballast factors and lamps.</w:t>
      </w:r>
      <w:r>
        <w:t xml:space="preserve"> (See Program Requirements.)</w:t>
      </w:r>
    </w:p>
    <w:p w14:paraId="3CB7102D" w14:textId="6AF7DD4F" w:rsidR="00AB7A60" w:rsidRDefault="00AB7A60" w:rsidP="00AB7A60"/>
    <w:p w14:paraId="55F4620B" w14:textId="77777777" w:rsidR="00AB7A60" w:rsidRDefault="00AB7A60" w:rsidP="00AB7A60"/>
    <w:p w14:paraId="52922809" w14:textId="77777777" w:rsidR="007D230B" w:rsidRPr="004B06E3" w:rsidRDefault="007D230B" w:rsidP="00462BB6">
      <w:pPr>
        <w:pStyle w:val="eTRMHeading3"/>
      </w:pPr>
      <w:bookmarkStart w:id="12" w:name="_Toc486490848"/>
      <w:bookmarkStart w:id="13" w:name="_Toc486580919"/>
      <w:bookmarkStart w:id="14" w:name="_Toc40948487"/>
      <w:r w:rsidRPr="004B06E3">
        <w:t>Measure Case Description</w:t>
      </w:r>
      <w:bookmarkEnd w:id="12"/>
      <w:bookmarkEnd w:id="13"/>
      <w:bookmarkEnd w:id="14"/>
    </w:p>
    <w:p w14:paraId="4C16C11A" w14:textId="6AB5C8FC" w:rsidR="00E30003" w:rsidRDefault="00E30003" w:rsidP="00E30003">
      <w:pPr>
        <w:pStyle w:val="Reminders"/>
        <w:tabs>
          <w:tab w:val="num" w:pos="360"/>
        </w:tabs>
        <w:rPr>
          <w:rFonts w:ascii="Calibri Light" w:hAnsi="Calibri Light" w:cstheme="minorHAnsi"/>
          <w:i w:val="0"/>
          <w:color w:val="auto"/>
          <w:szCs w:val="22"/>
        </w:rPr>
      </w:pPr>
      <w:r w:rsidRPr="00A72BFF">
        <w:rPr>
          <w:rFonts w:ascii="Calibri Light" w:hAnsi="Calibri Light" w:cstheme="minorHAnsi"/>
          <w:i w:val="0"/>
          <w:color w:val="auto"/>
          <w:szCs w:val="22"/>
        </w:rPr>
        <w:t>This measure</w:t>
      </w:r>
      <w:r w:rsidR="00195856">
        <w:rPr>
          <w:rFonts w:ascii="Calibri Light" w:hAnsi="Calibri Light" w:cstheme="minorHAnsi"/>
          <w:i w:val="0"/>
          <w:color w:val="auto"/>
          <w:szCs w:val="22"/>
        </w:rPr>
        <w:t xml:space="preserve"> case</w:t>
      </w:r>
      <w:r w:rsidRPr="00A72BFF">
        <w:rPr>
          <w:rFonts w:ascii="Calibri Light" w:hAnsi="Calibri Light" w:cstheme="minorHAnsi"/>
          <w:i w:val="0"/>
          <w:color w:val="auto"/>
          <w:szCs w:val="22"/>
        </w:rPr>
        <w:t xml:space="preserve"> </w:t>
      </w:r>
      <w:r w:rsidR="007826D5">
        <w:rPr>
          <w:rFonts w:ascii="Calibri Light" w:hAnsi="Calibri Light" w:cstheme="minorHAnsi"/>
          <w:i w:val="0"/>
          <w:color w:val="auto"/>
          <w:szCs w:val="22"/>
        </w:rPr>
        <w:t>is defined as</w:t>
      </w:r>
      <w:r w:rsidR="00A710B8">
        <w:rPr>
          <w:rFonts w:ascii="Calibri Light" w:hAnsi="Calibri Light" w:cstheme="minorHAnsi"/>
          <w:i w:val="0"/>
          <w:color w:val="auto"/>
          <w:szCs w:val="22"/>
        </w:rPr>
        <w:t xml:space="preserve"> the replacement of a </w:t>
      </w:r>
      <w:r w:rsidR="00020F4D">
        <w:rPr>
          <w:rFonts w:ascii="Calibri Light" w:hAnsi="Calibri Light" w:cstheme="minorHAnsi"/>
          <w:i w:val="0"/>
          <w:color w:val="auto"/>
          <w:szCs w:val="22"/>
        </w:rPr>
        <w:t>4</w:t>
      </w:r>
      <w:r w:rsidRPr="00A72BFF">
        <w:rPr>
          <w:rFonts w:ascii="Calibri Light" w:hAnsi="Calibri Light" w:cstheme="minorHAnsi"/>
          <w:i w:val="0"/>
          <w:color w:val="auto"/>
          <w:szCs w:val="22"/>
        </w:rPr>
        <w:t xml:space="preserve">-foot </w:t>
      </w:r>
      <w:r w:rsidR="00E97FDC">
        <w:rPr>
          <w:rFonts w:ascii="Calibri Light" w:hAnsi="Calibri Light" w:cstheme="minorHAnsi"/>
          <w:i w:val="0"/>
          <w:color w:val="auto"/>
          <w:szCs w:val="22"/>
        </w:rPr>
        <w:t>linear f</w:t>
      </w:r>
      <w:r w:rsidRPr="00A72BFF">
        <w:rPr>
          <w:rFonts w:ascii="Calibri Light" w:hAnsi="Calibri Light" w:cstheme="minorHAnsi"/>
          <w:i w:val="0"/>
          <w:color w:val="auto"/>
          <w:szCs w:val="22"/>
        </w:rPr>
        <w:t>luorescent T8 lamp with a LED T8 Lamp</w:t>
      </w:r>
      <w:r w:rsidR="009E3F9B">
        <w:rPr>
          <w:rFonts w:ascii="Calibri Light" w:hAnsi="Calibri Light" w:cstheme="minorHAnsi"/>
          <w:i w:val="0"/>
          <w:color w:val="auto"/>
          <w:szCs w:val="22"/>
        </w:rPr>
        <w:t xml:space="preserve"> (TLED)</w:t>
      </w:r>
      <w:r w:rsidRPr="00A72BFF">
        <w:rPr>
          <w:rFonts w:ascii="Calibri Light" w:hAnsi="Calibri Light" w:cstheme="minorHAnsi"/>
          <w:i w:val="0"/>
          <w:color w:val="auto"/>
          <w:szCs w:val="22"/>
        </w:rPr>
        <w:t xml:space="preserve"> UL Type A</w:t>
      </w:r>
      <w:r w:rsidR="00580762">
        <w:rPr>
          <w:rFonts w:ascii="Calibri Light" w:hAnsi="Calibri Light" w:cstheme="minorHAnsi"/>
          <w:i w:val="0"/>
          <w:color w:val="auto"/>
          <w:szCs w:val="22"/>
        </w:rPr>
        <w:t xml:space="preserve"> for specified building/space types</w:t>
      </w:r>
      <w:r w:rsidR="003B5C13">
        <w:rPr>
          <w:rFonts w:ascii="Calibri Light" w:hAnsi="Calibri Light" w:cstheme="minorHAnsi"/>
          <w:i w:val="0"/>
          <w:color w:val="auto"/>
          <w:szCs w:val="22"/>
        </w:rPr>
        <w:t>, as follows:</w:t>
      </w:r>
      <w:r w:rsidR="00D27730">
        <w:rPr>
          <w:rFonts w:ascii="Calibri Light" w:hAnsi="Calibri Light" w:cstheme="minorHAnsi"/>
          <w:i w:val="0"/>
          <w:color w:val="auto"/>
          <w:szCs w:val="22"/>
        </w:rPr>
        <w:t xml:space="preserve"> </w:t>
      </w:r>
    </w:p>
    <w:p w14:paraId="2BE5A0F1" w14:textId="1E0D3F60" w:rsidR="00D27730" w:rsidRPr="00272F7D" w:rsidRDefault="00D27730" w:rsidP="00272F7D">
      <w:pPr>
        <w:pStyle w:val="eTRMBulletedText"/>
      </w:pPr>
      <w:r w:rsidRPr="00272F7D">
        <w:t>4</w:t>
      </w:r>
      <w:r w:rsidR="003B5C13" w:rsidRPr="00272F7D">
        <w:t>-</w:t>
      </w:r>
      <w:r w:rsidRPr="00272F7D">
        <w:t>foot LED T8 Lamp UL Type A Replacing Linear Fluorescent T8 Lamp (Non-Res)</w:t>
      </w:r>
    </w:p>
    <w:p w14:paraId="235C01E3" w14:textId="5DE497EA" w:rsidR="00D27730" w:rsidRPr="00272F7D" w:rsidRDefault="00D27730" w:rsidP="00272F7D">
      <w:pPr>
        <w:pStyle w:val="eTRMBulletedText"/>
      </w:pPr>
      <w:r w:rsidRPr="00272F7D">
        <w:t>4</w:t>
      </w:r>
      <w:r w:rsidR="003B5C13" w:rsidRPr="00272F7D">
        <w:t>-</w:t>
      </w:r>
      <w:r w:rsidRPr="00272F7D">
        <w:t>foot LED T8 Lamp UL Type A Replacing Linear Fluorescent T8 Lamp (Common Area)</w:t>
      </w:r>
    </w:p>
    <w:p w14:paraId="1BC12E1E" w14:textId="3CB16E3B" w:rsidR="00D27730" w:rsidRPr="00272F7D" w:rsidRDefault="00D27730" w:rsidP="00272F7D">
      <w:pPr>
        <w:pStyle w:val="eTRMBulletedText"/>
      </w:pPr>
      <w:r w:rsidRPr="00272F7D">
        <w:t>4</w:t>
      </w:r>
      <w:r w:rsidR="003B5C13" w:rsidRPr="00272F7D">
        <w:t>-</w:t>
      </w:r>
      <w:r w:rsidRPr="00272F7D">
        <w:t xml:space="preserve">foot LED T8 Lamp UL Type A Replacing Linear Fluorescent T8 Lamp (Dwelling Area) </w:t>
      </w:r>
    </w:p>
    <w:p w14:paraId="5D1307C5" w14:textId="5F51564B" w:rsidR="00D27730" w:rsidRPr="00272F7D" w:rsidRDefault="00D27730" w:rsidP="00272F7D">
      <w:pPr>
        <w:pStyle w:val="eTRMBulletedText"/>
      </w:pPr>
      <w:r w:rsidRPr="00272F7D">
        <w:t>4</w:t>
      </w:r>
      <w:r w:rsidR="003B5C13" w:rsidRPr="00272F7D">
        <w:t>-</w:t>
      </w:r>
      <w:r w:rsidRPr="00272F7D">
        <w:t>foot LED T8 Lamp UL Type A Replacing Linear Fluorescent T8 Lamp (Parking Garages)</w:t>
      </w:r>
    </w:p>
    <w:p w14:paraId="1FFAE880" w14:textId="77777777" w:rsidR="001A1C42" w:rsidRDefault="001A1C42" w:rsidP="00E30003">
      <w:pPr>
        <w:pStyle w:val="Reminders"/>
        <w:tabs>
          <w:tab w:val="num" w:pos="360"/>
        </w:tabs>
        <w:rPr>
          <w:rFonts w:ascii="Calibri Light" w:hAnsi="Calibri Light" w:cstheme="minorHAnsi"/>
          <w:i w:val="0"/>
          <w:color w:val="auto"/>
          <w:szCs w:val="22"/>
        </w:rPr>
      </w:pPr>
    </w:p>
    <w:p w14:paraId="07EEA215" w14:textId="77777777" w:rsidR="00E70CBD" w:rsidRPr="00171BB8" w:rsidRDefault="00E70CBD" w:rsidP="00462BB6">
      <w:pPr>
        <w:pStyle w:val="eTRMHeading3"/>
      </w:pPr>
      <w:bookmarkStart w:id="15" w:name="_Toc486490849"/>
      <w:bookmarkStart w:id="16" w:name="_Toc486580920"/>
      <w:bookmarkStart w:id="17" w:name="_Toc40948488"/>
      <w:r w:rsidRPr="004B06E3">
        <w:t>Base Case Description</w:t>
      </w:r>
      <w:bookmarkEnd w:id="15"/>
      <w:bookmarkEnd w:id="16"/>
      <w:bookmarkEnd w:id="17"/>
      <w:r w:rsidRPr="00171BB8">
        <w:t xml:space="preserve"> </w:t>
      </w:r>
    </w:p>
    <w:p w14:paraId="68CCA671" w14:textId="50FE2AF5" w:rsidR="0069161E" w:rsidRDefault="00B41EA8" w:rsidP="0069161E">
      <w:r>
        <w:t xml:space="preserve">The base case is defined as a </w:t>
      </w:r>
      <w:r w:rsidR="00E97FDC">
        <w:t>4</w:t>
      </w:r>
      <w:r w:rsidRPr="00A72BFF">
        <w:t xml:space="preserve">-foot </w:t>
      </w:r>
      <w:r w:rsidR="00E97FDC">
        <w:t>linear f</w:t>
      </w:r>
      <w:r w:rsidRPr="00A72BFF">
        <w:t>luorescent T8 lamp</w:t>
      </w:r>
      <w:r>
        <w:t>.</w:t>
      </w:r>
      <w:r w:rsidR="00A55AEE">
        <w:t xml:space="preserve"> The base</w:t>
      </w:r>
      <w:r w:rsidR="00A51A63">
        <w:t xml:space="preserve"> </w:t>
      </w:r>
      <w:r w:rsidR="00A55AEE">
        <w:t>case was determined using the 201</w:t>
      </w:r>
      <w:r w:rsidR="00510194">
        <w:t>8-19</w:t>
      </w:r>
      <w:r w:rsidR="00A55AEE">
        <w:t xml:space="preserve"> program application data and is considered an existing condition. </w:t>
      </w:r>
      <w:r w:rsidR="0055424F">
        <w:t xml:space="preserve">The analysis of this measure </w:t>
      </w:r>
      <w:r w:rsidR="00A55AEE">
        <w:t xml:space="preserve">utilizes the existing condition baseline </w:t>
      </w:r>
      <w:r w:rsidR="00A51A63">
        <w:t>(a</w:t>
      </w:r>
      <w:r w:rsidR="00A55AEE">
        <w:t xml:space="preserve"> 4-foot T8 Linear Fluorescent lamp</w:t>
      </w:r>
      <w:r w:rsidR="00A51A63">
        <w:t>)</w:t>
      </w:r>
      <w:r w:rsidR="00A55AEE">
        <w:t xml:space="preserve"> to calculate the </w:t>
      </w:r>
      <w:r w:rsidR="009E3F9B">
        <w:t xml:space="preserve">baseline </w:t>
      </w:r>
      <w:r w:rsidR="00A55AEE">
        <w:t>energy savings.</w:t>
      </w:r>
      <w:r w:rsidR="00A51A63">
        <w:rPr>
          <w:rStyle w:val="FootnoteReference"/>
        </w:rPr>
        <w:footnoteReference w:id="6"/>
      </w:r>
      <w:r w:rsidR="00A55AEE">
        <w:t xml:space="preserve"> </w:t>
      </w:r>
    </w:p>
    <w:p w14:paraId="0E1A1A57" w14:textId="41C2D278" w:rsidR="00195856" w:rsidRPr="002942B0" w:rsidRDefault="00195856" w:rsidP="0069161E"/>
    <w:p w14:paraId="1A71348E" w14:textId="77777777" w:rsidR="007D230B" w:rsidRDefault="007D230B" w:rsidP="004F705B">
      <w:pPr>
        <w:pStyle w:val="eTRMHeading3"/>
      </w:pPr>
      <w:bookmarkStart w:id="18" w:name="_Toc486490850"/>
      <w:bookmarkStart w:id="19" w:name="_Toc486580921"/>
      <w:bookmarkStart w:id="20" w:name="_Toc40948489"/>
      <w:r w:rsidRPr="004B06E3">
        <w:t>Code Requirements</w:t>
      </w:r>
      <w:bookmarkEnd w:id="18"/>
      <w:bookmarkEnd w:id="19"/>
      <w:bookmarkEnd w:id="20"/>
    </w:p>
    <w:p w14:paraId="03F9E0DD" w14:textId="172DFCB3" w:rsidR="007826D5" w:rsidRDefault="007826D5" w:rsidP="007826D5">
      <w:r>
        <w:t xml:space="preserve">State and federal standards that </w:t>
      </w:r>
      <w:r w:rsidR="00665EB5">
        <w:t>relate</w:t>
      </w:r>
      <w:r>
        <w:t xml:space="preserve"> to this measure are noted </w:t>
      </w:r>
      <w:r w:rsidR="00DE4DA3">
        <w:t>below</w:t>
      </w:r>
      <w:r>
        <w:t xml:space="preserve">. </w:t>
      </w:r>
      <w:r w:rsidR="00413DE5">
        <w:t>Note</w:t>
      </w:r>
      <w:r w:rsidR="00856BD0">
        <w:t>, however,</w:t>
      </w:r>
      <w:r w:rsidR="00413DE5">
        <w:t xml:space="preserve"> that t</w:t>
      </w:r>
      <w:r w:rsidR="00020F4D">
        <w:t>his measure is a lamp-</w:t>
      </w:r>
      <w:r w:rsidR="001737DF" w:rsidRPr="001737DF">
        <w:t xml:space="preserve">only replacement and </w:t>
      </w:r>
      <w:r w:rsidR="00020F4D">
        <w:t xml:space="preserve">thus </w:t>
      </w:r>
      <w:r w:rsidR="001737DF" w:rsidRPr="001737DF">
        <w:t>does not trigger code.</w:t>
      </w:r>
      <w:r w:rsidR="001737DF">
        <w:t xml:space="preserve"> </w:t>
      </w:r>
      <w:r w:rsidR="001737DF" w:rsidRPr="00413DE5">
        <w:rPr>
          <w:i/>
        </w:rPr>
        <w:t>The information provided below is for informational purposes only.</w:t>
      </w:r>
    </w:p>
    <w:p w14:paraId="24343762" w14:textId="5A442FE0" w:rsidR="007826D5" w:rsidRPr="00500C4E" w:rsidRDefault="007826D5">
      <w:pPr>
        <w:pStyle w:val="Caption"/>
      </w:pPr>
      <w:r>
        <w:t>Applicable State and Federal Codes and Standards</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444"/>
        <w:gridCol w:w="4043"/>
        <w:gridCol w:w="1863"/>
      </w:tblGrid>
      <w:tr w:rsidR="00A710B8" w:rsidRPr="00500C4E" w14:paraId="01F59392" w14:textId="77777777" w:rsidTr="00413DE5">
        <w:tc>
          <w:tcPr>
            <w:tcW w:w="1842" w:type="pct"/>
            <w:shd w:val="clear" w:color="auto" w:fill="F2F2F2" w:themeFill="background1" w:themeFillShade="F2"/>
          </w:tcPr>
          <w:p w14:paraId="023D6DD1" w14:textId="77777777" w:rsidR="007826D5" w:rsidRPr="00574E86" w:rsidRDefault="007826D5" w:rsidP="001737DF">
            <w:pPr>
              <w:spacing w:before="20" w:after="20"/>
              <w:rPr>
                <w:rFonts w:cstheme="minorHAnsi"/>
                <w:b/>
                <w:sz w:val="20"/>
              </w:rPr>
            </w:pPr>
            <w:r w:rsidRPr="00574E86">
              <w:rPr>
                <w:rFonts w:cstheme="minorHAnsi"/>
                <w:b/>
                <w:sz w:val="20"/>
              </w:rPr>
              <w:t>Code</w:t>
            </w:r>
          </w:p>
        </w:tc>
        <w:tc>
          <w:tcPr>
            <w:tcW w:w="2162" w:type="pct"/>
            <w:shd w:val="clear" w:color="auto" w:fill="F2F2F2" w:themeFill="background1" w:themeFillShade="F2"/>
          </w:tcPr>
          <w:p w14:paraId="09AA9BC8" w14:textId="77777777" w:rsidR="007826D5" w:rsidRPr="00574E86" w:rsidRDefault="007826D5" w:rsidP="001737DF">
            <w:pPr>
              <w:spacing w:before="20" w:after="20"/>
              <w:rPr>
                <w:rFonts w:cstheme="minorHAnsi"/>
                <w:b/>
                <w:sz w:val="20"/>
              </w:rPr>
            </w:pPr>
            <w:r w:rsidRPr="00574E86">
              <w:rPr>
                <w:rFonts w:cstheme="minorHAnsi"/>
                <w:b/>
                <w:sz w:val="20"/>
              </w:rPr>
              <w:t>Applicable Code Reference</w:t>
            </w:r>
          </w:p>
        </w:tc>
        <w:tc>
          <w:tcPr>
            <w:tcW w:w="996" w:type="pct"/>
            <w:shd w:val="clear" w:color="auto" w:fill="F2F2F2" w:themeFill="background1" w:themeFillShade="F2"/>
          </w:tcPr>
          <w:p w14:paraId="71270B9E" w14:textId="77777777" w:rsidR="007826D5" w:rsidRPr="00574E86" w:rsidRDefault="007826D5" w:rsidP="001737DF">
            <w:pPr>
              <w:spacing w:before="20" w:after="20"/>
              <w:rPr>
                <w:rFonts w:cstheme="minorHAnsi"/>
                <w:b/>
                <w:sz w:val="20"/>
              </w:rPr>
            </w:pPr>
            <w:r w:rsidRPr="00574E86">
              <w:rPr>
                <w:rFonts w:cstheme="minorHAnsi"/>
                <w:b/>
                <w:sz w:val="20"/>
              </w:rPr>
              <w:t>Effective Date</w:t>
            </w:r>
          </w:p>
        </w:tc>
      </w:tr>
      <w:tr w:rsidR="003B5C13" w:rsidRPr="00500C4E" w14:paraId="716D40AE" w14:textId="77777777" w:rsidTr="00413DE5">
        <w:trPr>
          <w:trHeight w:val="243"/>
        </w:trPr>
        <w:tc>
          <w:tcPr>
            <w:tcW w:w="1842" w:type="pct"/>
            <w:vAlign w:val="center"/>
          </w:tcPr>
          <w:p w14:paraId="452AF0E0" w14:textId="3E2C9C69" w:rsidR="003B5C13" w:rsidRPr="00574E86" w:rsidRDefault="003B5C13" w:rsidP="003B5C13">
            <w:pPr>
              <w:spacing w:before="20" w:after="20"/>
              <w:rPr>
                <w:rFonts w:cstheme="minorHAnsi"/>
                <w:sz w:val="20"/>
              </w:rPr>
            </w:pPr>
            <w:r w:rsidRPr="00574E86">
              <w:rPr>
                <w:sz w:val="20"/>
              </w:rPr>
              <w:t>CA Appliance Efficiency Regulations – Title 20 (201</w:t>
            </w:r>
            <w:r>
              <w:rPr>
                <w:sz w:val="20"/>
              </w:rPr>
              <w:t>9</w:t>
            </w:r>
            <w:r w:rsidRPr="00574E86">
              <w:rPr>
                <w:sz w:val="20"/>
              </w:rPr>
              <w:t>)</w:t>
            </w:r>
          </w:p>
        </w:tc>
        <w:tc>
          <w:tcPr>
            <w:tcW w:w="2162" w:type="pct"/>
            <w:vAlign w:val="center"/>
          </w:tcPr>
          <w:p w14:paraId="1B679AFE" w14:textId="2D5B26A7" w:rsidR="003B5C13" w:rsidRPr="00574E86" w:rsidRDefault="003B5C13" w:rsidP="003B5C13">
            <w:pPr>
              <w:spacing w:before="20" w:after="20"/>
              <w:rPr>
                <w:rFonts w:cstheme="minorHAnsi"/>
                <w:sz w:val="20"/>
              </w:rPr>
            </w:pPr>
            <w:r>
              <w:rPr>
                <w:rFonts w:cstheme="minorHAnsi"/>
                <w:sz w:val="20"/>
              </w:rPr>
              <w:t xml:space="preserve">Section </w:t>
            </w:r>
            <w:r w:rsidRPr="00926AE9">
              <w:rPr>
                <w:rFonts w:cstheme="minorHAnsi"/>
                <w:sz w:val="20"/>
              </w:rPr>
              <w:t>1605 (j</w:t>
            </w:r>
            <w:r>
              <w:rPr>
                <w:rFonts w:cstheme="minorHAnsi"/>
                <w:sz w:val="20"/>
              </w:rPr>
              <w:t>) and (k)</w:t>
            </w:r>
          </w:p>
        </w:tc>
        <w:tc>
          <w:tcPr>
            <w:tcW w:w="996" w:type="pct"/>
            <w:vAlign w:val="center"/>
          </w:tcPr>
          <w:p w14:paraId="70B1D60A" w14:textId="48FBF4F4" w:rsidR="003B5C13" w:rsidRPr="00574E86" w:rsidRDefault="003B5C13" w:rsidP="003B5C13">
            <w:pPr>
              <w:spacing w:before="20" w:after="20"/>
              <w:rPr>
                <w:rFonts w:cstheme="minorHAnsi"/>
                <w:sz w:val="20"/>
              </w:rPr>
            </w:pPr>
            <w:r>
              <w:rPr>
                <w:rFonts w:cstheme="minorHAnsi"/>
                <w:sz w:val="20"/>
              </w:rPr>
              <w:t>January 1, 2019</w:t>
            </w:r>
          </w:p>
        </w:tc>
      </w:tr>
      <w:tr w:rsidR="00A710B8" w:rsidRPr="00500C4E" w14:paraId="51979686" w14:textId="77777777" w:rsidTr="00413DE5">
        <w:trPr>
          <w:trHeight w:val="243"/>
        </w:trPr>
        <w:tc>
          <w:tcPr>
            <w:tcW w:w="1842" w:type="pct"/>
            <w:vAlign w:val="center"/>
          </w:tcPr>
          <w:p w14:paraId="07574794" w14:textId="50793EE9" w:rsidR="007826D5" w:rsidRPr="00574E86" w:rsidRDefault="007826D5" w:rsidP="001737DF">
            <w:pPr>
              <w:spacing w:before="20" w:after="20"/>
              <w:rPr>
                <w:rFonts w:cstheme="minorHAnsi"/>
                <w:sz w:val="20"/>
              </w:rPr>
            </w:pPr>
            <w:r w:rsidRPr="00574E86">
              <w:rPr>
                <w:sz w:val="20"/>
              </w:rPr>
              <w:t>CA Building Energy Efficiency Standards – Title 24 (201</w:t>
            </w:r>
            <w:r w:rsidR="003B5C13">
              <w:rPr>
                <w:sz w:val="20"/>
              </w:rPr>
              <w:t>9</w:t>
            </w:r>
            <w:r w:rsidRPr="00574E86">
              <w:rPr>
                <w:sz w:val="20"/>
              </w:rPr>
              <w:t>)</w:t>
            </w:r>
          </w:p>
        </w:tc>
        <w:tc>
          <w:tcPr>
            <w:tcW w:w="2162" w:type="pct"/>
            <w:vAlign w:val="center"/>
          </w:tcPr>
          <w:p w14:paraId="3A61AFB0" w14:textId="77777777" w:rsidR="007826D5" w:rsidRPr="00574E86" w:rsidRDefault="007826D5" w:rsidP="001737DF">
            <w:pPr>
              <w:spacing w:before="20" w:after="20"/>
              <w:rPr>
                <w:rFonts w:cstheme="minorHAnsi"/>
                <w:sz w:val="20"/>
              </w:rPr>
            </w:pPr>
            <w:r w:rsidRPr="00574E86">
              <w:rPr>
                <w:rFonts w:cstheme="minorHAnsi"/>
                <w:sz w:val="20"/>
              </w:rPr>
              <w:t>Section 141.0(b)2I</w:t>
            </w:r>
          </w:p>
        </w:tc>
        <w:tc>
          <w:tcPr>
            <w:tcW w:w="996" w:type="pct"/>
            <w:vAlign w:val="center"/>
          </w:tcPr>
          <w:p w14:paraId="509DD23F" w14:textId="42CD774C" w:rsidR="007826D5" w:rsidRPr="00574E86" w:rsidRDefault="003B5C13" w:rsidP="001737DF">
            <w:pPr>
              <w:spacing w:before="20" w:after="20"/>
              <w:rPr>
                <w:rFonts w:cstheme="minorHAnsi"/>
                <w:sz w:val="20"/>
              </w:rPr>
            </w:pPr>
            <w:r>
              <w:rPr>
                <w:rFonts w:cstheme="minorHAnsi"/>
                <w:sz w:val="20"/>
              </w:rPr>
              <w:t>January 1, 2020</w:t>
            </w:r>
          </w:p>
        </w:tc>
      </w:tr>
      <w:tr w:rsidR="00A710B8" w:rsidRPr="00500C4E" w14:paraId="3D3FC168" w14:textId="77777777" w:rsidTr="00413DE5">
        <w:trPr>
          <w:trHeight w:val="243"/>
        </w:trPr>
        <w:tc>
          <w:tcPr>
            <w:tcW w:w="1842" w:type="pct"/>
            <w:vAlign w:val="center"/>
          </w:tcPr>
          <w:p w14:paraId="3F767224" w14:textId="77777777" w:rsidR="007826D5" w:rsidRPr="00574E86" w:rsidRDefault="007826D5" w:rsidP="001737DF">
            <w:pPr>
              <w:spacing w:before="20" w:after="20"/>
              <w:rPr>
                <w:rFonts w:cstheme="minorHAnsi"/>
                <w:sz w:val="20"/>
              </w:rPr>
            </w:pPr>
            <w:r w:rsidRPr="00574E86">
              <w:rPr>
                <w:sz w:val="20"/>
              </w:rPr>
              <w:t xml:space="preserve">Federal Standards </w:t>
            </w:r>
          </w:p>
        </w:tc>
        <w:tc>
          <w:tcPr>
            <w:tcW w:w="2162" w:type="pct"/>
            <w:vAlign w:val="center"/>
          </w:tcPr>
          <w:p w14:paraId="3E05924A" w14:textId="4507D471" w:rsidR="007826D5" w:rsidRPr="00574E86" w:rsidRDefault="00413DE5" w:rsidP="001737DF">
            <w:pPr>
              <w:spacing w:before="20" w:after="20"/>
              <w:rPr>
                <w:rFonts w:cstheme="minorHAnsi"/>
                <w:sz w:val="20"/>
              </w:rPr>
            </w:pPr>
            <w:r w:rsidRPr="00574E86">
              <w:rPr>
                <w:rFonts w:cstheme="minorHAnsi"/>
                <w:sz w:val="20"/>
              </w:rPr>
              <w:t>10 CFR 430.32</w:t>
            </w:r>
            <w:r w:rsidR="003B5C13">
              <w:rPr>
                <w:rFonts w:cstheme="minorHAnsi"/>
                <w:sz w:val="20"/>
              </w:rPr>
              <w:t xml:space="preserve">(m) and </w:t>
            </w:r>
            <w:r w:rsidR="00665EB5" w:rsidRPr="00574E86">
              <w:rPr>
                <w:rFonts w:cstheme="minorHAnsi"/>
                <w:sz w:val="20"/>
              </w:rPr>
              <w:t>(</w:t>
            </w:r>
            <w:r w:rsidRPr="00574E86">
              <w:rPr>
                <w:rFonts w:cstheme="minorHAnsi"/>
                <w:sz w:val="20"/>
              </w:rPr>
              <w:t>n</w:t>
            </w:r>
            <w:r w:rsidR="00665EB5" w:rsidRPr="00574E86">
              <w:rPr>
                <w:rFonts w:cstheme="minorHAnsi"/>
                <w:sz w:val="20"/>
              </w:rPr>
              <w:t>)</w:t>
            </w:r>
          </w:p>
        </w:tc>
        <w:tc>
          <w:tcPr>
            <w:tcW w:w="996" w:type="pct"/>
            <w:vAlign w:val="center"/>
          </w:tcPr>
          <w:p w14:paraId="76C9F819" w14:textId="77777777" w:rsidR="007826D5" w:rsidRPr="00574E86" w:rsidRDefault="007826D5" w:rsidP="001737DF">
            <w:pPr>
              <w:spacing w:before="20" w:after="20"/>
              <w:rPr>
                <w:rFonts w:cstheme="minorHAnsi"/>
                <w:sz w:val="20"/>
              </w:rPr>
            </w:pPr>
            <w:r w:rsidRPr="00574E86">
              <w:rPr>
                <w:rFonts w:cstheme="minorHAnsi"/>
                <w:sz w:val="20"/>
              </w:rPr>
              <w:t>July 14, 2012</w:t>
            </w:r>
          </w:p>
        </w:tc>
      </w:tr>
    </w:tbl>
    <w:p w14:paraId="51EB8307" w14:textId="77777777" w:rsidR="007826D5" w:rsidRPr="00171BB8" w:rsidRDefault="007826D5" w:rsidP="007A0EE7"/>
    <w:p w14:paraId="6F120664" w14:textId="77777777" w:rsidR="003B5C13" w:rsidRPr="00F4445A" w:rsidRDefault="003B5C13" w:rsidP="003B5C13">
      <w:pPr>
        <w:rPr>
          <w:rFonts w:cstheme="minorHAnsi"/>
          <w:b/>
          <w:szCs w:val="22"/>
        </w:rPr>
      </w:pPr>
      <w:r w:rsidRPr="00F4445A">
        <w:rPr>
          <w:rFonts w:cstheme="minorHAnsi"/>
          <w:b/>
          <w:szCs w:val="22"/>
        </w:rPr>
        <w:t>Title 24 (201</w:t>
      </w:r>
      <w:r>
        <w:rPr>
          <w:rFonts w:cstheme="minorHAnsi"/>
          <w:b/>
          <w:szCs w:val="22"/>
        </w:rPr>
        <w:t>9</w:t>
      </w:r>
      <w:r w:rsidRPr="00F4445A">
        <w:rPr>
          <w:rFonts w:cstheme="minorHAnsi"/>
          <w:b/>
          <w:szCs w:val="22"/>
        </w:rPr>
        <w:t>)</w:t>
      </w:r>
      <w:r>
        <w:rPr>
          <w:rStyle w:val="FootnoteReference"/>
          <w:rFonts w:cstheme="minorHAnsi"/>
          <w:b/>
          <w:szCs w:val="22"/>
        </w:rPr>
        <w:footnoteReference w:id="7"/>
      </w:r>
      <w:r w:rsidRPr="00F4445A">
        <w:rPr>
          <w:rFonts w:cstheme="minorHAnsi"/>
          <w:b/>
          <w:szCs w:val="22"/>
        </w:rPr>
        <w:t xml:space="preserve"> Section 141.0(b)2I:</w:t>
      </w:r>
    </w:p>
    <w:p w14:paraId="218C0E96" w14:textId="77777777" w:rsidR="003B5C13" w:rsidRPr="0055424F" w:rsidRDefault="003B5C13" w:rsidP="00524992">
      <w:pPr>
        <w:ind w:left="360"/>
        <w:rPr>
          <w:rFonts w:eastAsiaTheme="minorHAnsi"/>
          <w:i/>
          <w:sz w:val="18"/>
        </w:rPr>
      </w:pPr>
      <w:r w:rsidRPr="0055424F">
        <w:rPr>
          <w:rFonts w:eastAsiaTheme="minorHAnsi"/>
          <w:b/>
          <w:i/>
          <w:sz w:val="18"/>
        </w:rPr>
        <w:t>Altered Indoor Lighting Systems</w:t>
      </w:r>
      <w:r w:rsidRPr="0055424F">
        <w:rPr>
          <w:rFonts w:eastAsiaTheme="minorHAnsi"/>
          <w:i/>
          <w:sz w:val="18"/>
        </w:rPr>
        <w:t xml:space="preserve">. Alterations to indoor lighting systems that include 10% or more of the luminaires serving an enclosed space shall meet the requirements of i, ii, or iii below: </w:t>
      </w:r>
    </w:p>
    <w:p w14:paraId="15184578" w14:textId="77777777" w:rsidR="003B5C13" w:rsidRPr="0055424F" w:rsidRDefault="003B5C13" w:rsidP="00524992">
      <w:pPr>
        <w:pStyle w:val="ListParagraph"/>
        <w:numPr>
          <w:ilvl w:val="0"/>
          <w:numId w:val="16"/>
        </w:numPr>
        <w:ind w:left="1440"/>
        <w:rPr>
          <w:rFonts w:eastAsiaTheme="minorHAnsi"/>
          <w:i/>
          <w:sz w:val="18"/>
        </w:rPr>
      </w:pPr>
      <w:r w:rsidRPr="0055424F">
        <w:rPr>
          <w:rFonts w:eastAsiaTheme="minorHAnsi"/>
          <w:i/>
          <w:sz w:val="18"/>
        </w:rPr>
        <w:lastRenderedPageBreak/>
        <w:t xml:space="preserve">The alteration shall comply with the indoor lighting power requirements specified in Section 140.6 and the lighting control requirements specified in Table 141.0-F; </w:t>
      </w:r>
    </w:p>
    <w:p w14:paraId="5F2DD02D" w14:textId="77777777" w:rsidR="003B5C13" w:rsidRPr="0055424F" w:rsidRDefault="003B5C13" w:rsidP="00524992">
      <w:pPr>
        <w:pStyle w:val="ListParagraph"/>
        <w:numPr>
          <w:ilvl w:val="0"/>
          <w:numId w:val="16"/>
        </w:numPr>
        <w:ind w:left="1440"/>
        <w:rPr>
          <w:rFonts w:eastAsiaTheme="minorHAnsi"/>
          <w:i/>
          <w:sz w:val="18"/>
        </w:rPr>
      </w:pPr>
      <w:r w:rsidRPr="0055424F">
        <w:rPr>
          <w:rFonts w:eastAsiaTheme="minorHAnsi"/>
          <w:i/>
          <w:sz w:val="18"/>
        </w:rPr>
        <w:t xml:space="preserve">The alteration shall not exceed 80% of the indoor lighting power requirements specified in Section 140.6, and shall comply with the lighting control requirements specified in Table 141.0-F; or </w:t>
      </w:r>
    </w:p>
    <w:p w14:paraId="7B984867" w14:textId="77777777" w:rsidR="003B5C13" w:rsidRPr="0055424F" w:rsidRDefault="003B5C13" w:rsidP="00524992">
      <w:pPr>
        <w:pStyle w:val="ListParagraph"/>
        <w:numPr>
          <w:ilvl w:val="0"/>
          <w:numId w:val="16"/>
        </w:numPr>
        <w:ind w:left="1440"/>
        <w:rPr>
          <w:rFonts w:eastAsiaTheme="minorHAnsi"/>
          <w:i/>
          <w:sz w:val="18"/>
        </w:rPr>
      </w:pPr>
      <w:r w:rsidRPr="0055424F">
        <w:rPr>
          <w:rFonts w:eastAsiaTheme="minorHAnsi"/>
          <w:i/>
          <w:sz w:val="18"/>
        </w:rPr>
        <w:t>The alteration shall be a one-for-one luminaire alteration within a building or tenant space of 5,000 square feet or less, the total wattage of the altered luminaires shall be at least 40% lower compared to their total pre-alteration wattage, and the alteration shall comply with the lighting control requirements specified in Table 141.0-F.</w:t>
      </w:r>
    </w:p>
    <w:p w14:paraId="1C1E9380" w14:textId="77777777" w:rsidR="003B5C13" w:rsidRPr="0055424F" w:rsidRDefault="003B5C13" w:rsidP="00524992">
      <w:pPr>
        <w:ind w:left="360"/>
        <w:rPr>
          <w:rFonts w:eastAsiaTheme="minorHAnsi"/>
          <w:i/>
          <w:sz w:val="18"/>
        </w:rPr>
      </w:pPr>
      <w:r w:rsidRPr="0055424F">
        <w:rPr>
          <w:rFonts w:eastAsiaTheme="minorHAnsi"/>
          <w:i/>
          <w:sz w:val="18"/>
        </w:rPr>
        <w:t xml:space="preserve">Alterations to indoor lighting systems shall not prevent the operation of existing, unaltered controls, and shall not alter controls to remove functions specified in Section 130.1. </w:t>
      </w:r>
    </w:p>
    <w:p w14:paraId="5C0D678C" w14:textId="77777777" w:rsidR="003B5C13" w:rsidRPr="0055424F" w:rsidRDefault="003B5C13" w:rsidP="00524992">
      <w:pPr>
        <w:ind w:left="360"/>
        <w:rPr>
          <w:rFonts w:eastAsiaTheme="minorHAnsi"/>
          <w:i/>
          <w:sz w:val="18"/>
        </w:rPr>
      </w:pPr>
      <w:r w:rsidRPr="0055424F">
        <w:rPr>
          <w:rFonts w:eastAsiaTheme="minorHAnsi"/>
          <w:i/>
          <w:sz w:val="18"/>
        </w:rPr>
        <w:t>Alterations to lighting wiring are considered alterations to the lighting system. Alterations to indoor lighting systems are not required to separate existing general, floor, wall, display, or ornamental lighting on shared circuits or controls. New or completely replaced lighting circuits shall comply with the control separation requirements of Section 130.1(a)4 and 130.1(c)1D.</w:t>
      </w:r>
    </w:p>
    <w:p w14:paraId="094A3BBB" w14:textId="77777777" w:rsidR="003B5C13" w:rsidRPr="0055424F" w:rsidRDefault="003B5C13" w:rsidP="00524992">
      <w:pPr>
        <w:ind w:left="360"/>
        <w:rPr>
          <w:rFonts w:eastAsiaTheme="minorHAnsi"/>
          <w:i/>
          <w:sz w:val="18"/>
        </w:rPr>
      </w:pPr>
      <w:r w:rsidRPr="0055424F">
        <w:rPr>
          <w:rFonts w:eastAsiaTheme="minorHAnsi"/>
          <w:b/>
          <w:i/>
          <w:sz w:val="18"/>
        </w:rPr>
        <w:t>EXCEPTION 1 to Section 141.0(b)2I.</w:t>
      </w:r>
      <w:r w:rsidRPr="0055424F">
        <w:rPr>
          <w:rFonts w:eastAsiaTheme="minorHAnsi"/>
          <w:i/>
          <w:sz w:val="18"/>
        </w:rPr>
        <w:t xml:space="preserve"> Alteration of portable luminaires, luminaires affixed to moveable partitions, or lighting excluded as specified in Section 140.6(a)3.</w:t>
      </w:r>
    </w:p>
    <w:p w14:paraId="7FE22E8D" w14:textId="77777777" w:rsidR="003B5C13" w:rsidRPr="0055424F" w:rsidRDefault="003B5C13" w:rsidP="00524992">
      <w:pPr>
        <w:ind w:left="360"/>
        <w:rPr>
          <w:rFonts w:eastAsiaTheme="minorHAnsi"/>
          <w:i/>
          <w:sz w:val="18"/>
        </w:rPr>
      </w:pPr>
      <w:r w:rsidRPr="0055424F">
        <w:rPr>
          <w:rFonts w:eastAsiaTheme="minorHAnsi"/>
          <w:b/>
          <w:i/>
          <w:sz w:val="18"/>
        </w:rPr>
        <w:t>EXCEPTION 2 to Section 141.0(b)2I</w:t>
      </w:r>
      <w:r w:rsidRPr="0055424F">
        <w:rPr>
          <w:rFonts w:eastAsiaTheme="minorHAnsi"/>
          <w:i/>
          <w:sz w:val="18"/>
        </w:rPr>
        <w:t>. Any enclosed space with only one luminaire.</w:t>
      </w:r>
    </w:p>
    <w:p w14:paraId="2320CB37" w14:textId="77777777" w:rsidR="003B5C13" w:rsidRPr="0055424F" w:rsidRDefault="003B5C13" w:rsidP="00524992">
      <w:pPr>
        <w:ind w:left="360"/>
        <w:rPr>
          <w:rFonts w:eastAsiaTheme="minorHAnsi"/>
          <w:i/>
          <w:sz w:val="18"/>
        </w:rPr>
      </w:pPr>
      <w:r w:rsidRPr="0055424F">
        <w:rPr>
          <w:rFonts w:eastAsiaTheme="minorHAnsi"/>
          <w:b/>
          <w:i/>
          <w:sz w:val="18"/>
        </w:rPr>
        <w:t>EXCEPTION 3 to Section 141.0(b)2I</w:t>
      </w:r>
      <w:r w:rsidRPr="0055424F">
        <w:rPr>
          <w:rFonts w:eastAsiaTheme="minorHAnsi"/>
          <w:i/>
          <w:sz w:val="18"/>
        </w:rPr>
        <w:t>. Any alteration that would directly cause the disturbance of asbestos, unless the alteration is made in conjunction with asbestos abatement.</w:t>
      </w:r>
    </w:p>
    <w:p w14:paraId="3C20B75A" w14:textId="77777777" w:rsidR="003B5C13" w:rsidRPr="0055424F" w:rsidRDefault="003B5C13" w:rsidP="00524992">
      <w:pPr>
        <w:ind w:left="360"/>
        <w:rPr>
          <w:rFonts w:eastAsiaTheme="minorHAnsi"/>
          <w:i/>
          <w:sz w:val="18"/>
        </w:rPr>
      </w:pPr>
      <w:r w:rsidRPr="0055424F">
        <w:rPr>
          <w:rFonts w:eastAsiaTheme="minorHAnsi"/>
          <w:b/>
          <w:i/>
          <w:sz w:val="18"/>
        </w:rPr>
        <w:t>EXCEPTION 4 to Section 141.0(b)2I</w:t>
      </w:r>
      <w:r w:rsidRPr="0055424F">
        <w:rPr>
          <w:rFonts w:eastAsiaTheme="minorHAnsi"/>
          <w:i/>
          <w:sz w:val="18"/>
        </w:rPr>
        <w:t>. Acceptance testing requirements of Section 130.4 are not required for alterations where lighting controls are added to control 20 or fewer luminaires.</w:t>
      </w:r>
    </w:p>
    <w:p w14:paraId="4E26BE47" w14:textId="77777777" w:rsidR="003B5C13" w:rsidRPr="0055424F" w:rsidRDefault="003B5C13" w:rsidP="00524992">
      <w:pPr>
        <w:ind w:left="360"/>
        <w:rPr>
          <w:rFonts w:eastAsiaTheme="minorHAnsi"/>
          <w:i/>
          <w:sz w:val="18"/>
        </w:rPr>
      </w:pPr>
      <w:r w:rsidRPr="0055424F">
        <w:rPr>
          <w:rFonts w:eastAsiaTheme="minorHAnsi"/>
          <w:b/>
          <w:i/>
          <w:sz w:val="18"/>
        </w:rPr>
        <w:t>EXCEPTION 5 to Section 141.0(b)2I</w:t>
      </w:r>
      <w:r w:rsidRPr="0055424F">
        <w:rPr>
          <w:rFonts w:eastAsiaTheme="minorHAnsi"/>
          <w:i/>
          <w:sz w:val="18"/>
        </w:rPr>
        <w:t>. Any alteration limited to adding lighting controls or replacing lamps, ballasts, or drivers.</w:t>
      </w:r>
    </w:p>
    <w:p w14:paraId="3F5E87AE" w14:textId="77777777" w:rsidR="003B5C13" w:rsidRPr="0055424F" w:rsidRDefault="003B5C13" w:rsidP="00524992">
      <w:pPr>
        <w:ind w:left="360"/>
        <w:rPr>
          <w:rFonts w:eastAsiaTheme="minorHAnsi" w:cs="TimesNewRomanPSMT"/>
          <w:i/>
          <w:sz w:val="20"/>
        </w:rPr>
      </w:pPr>
      <w:r w:rsidRPr="0055424F">
        <w:rPr>
          <w:rFonts w:eastAsiaTheme="minorHAnsi"/>
          <w:b/>
          <w:i/>
          <w:sz w:val="18"/>
        </w:rPr>
        <w:t>EXCEPTION 6 to Section 141.0(b)2I</w:t>
      </w:r>
      <w:r w:rsidRPr="0055424F">
        <w:rPr>
          <w:rFonts w:eastAsiaTheme="minorHAnsi"/>
          <w:i/>
          <w:sz w:val="18"/>
        </w:rPr>
        <w:t>. One-for-one luminaire alteration of up to 50 luminaires either per complete floor of the building or per complete tenant space, per annum.</w:t>
      </w:r>
    </w:p>
    <w:p w14:paraId="2887E88B" w14:textId="77777777" w:rsidR="003B5C13" w:rsidRDefault="003B5C13" w:rsidP="00524992"/>
    <w:p w14:paraId="00F0D72B" w14:textId="77777777" w:rsidR="003B5C13" w:rsidRPr="007826D5" w:rsidRDefault="003B5C13" w:rsidP="003B5C13">
      <w:pPr>
        <w:rPr>
          <w:szCs w:val="22"/>
        </w:rPr>
      </w:pPr>
      <w:r w:rsidRPr="007826D5">
        <w:rPr>
          <w:b/>
          <w:szCs w:val="22"/>
        </w:rPr>
        <w:t>Title 20 (201</w:t>
      </w:r>
      <w:r>
        <w:rPr>
          <w:b/>
          <w:szCs w:val="22"/>
        </w:rPr>
        <w:t>9</w:t>
      </w:r>
      <w:r w:rsidRPr="007826D5">
        <w:rPr>
          <w:b/>
          <w:szCs w:val="22"/>
        </w:rPr>
        <w:t>)</w:t>
      </w:r>
      <w:r w:rsidRPr="00272F7D">
        <w:rPr>
          <w:rStyle w:val="FootnoteReference"/>
          <w:szCs w:val="22"/>
        </w:rPr>
        <w:footnoteReference w:id="8"/>
      </w:r>
      <w:r w:rsidRPr="007826D5">
        <w:rPr>
          <w:szCs w:val="22"/>
        </w:rPr>
        <w:t xml:space="preserve"> includes regulations to fluorescent lamp ballasts, replacement fluorescent lamp ballasts</w:t>
      </w:r>
      <w:r>
        <w:rPr>
          <w:szCs w:val="22"/>
        </w:rPr>
        <w:t xml:space="preserve"> (</w:t>
      </w:r>
      <w:r w:rsidRPr="00926AE9">
        <w:rPr>
          <w:szCs w:val="22"/>
        </w:rPr>
        <w:t>§ 1605</w:t>
      </w:r>
      <w:r>
        <w:rPr>
          <w:szCs w:val="22"/>
        </w:rPr>
        <w:t xml:space="preserve"> (j))</w:t>
      </w:r>
      <w:r w:rsidRPr="007826D5">
        <w:rPr>
          <w:szCs w:val="22"/>
        </w:rPr>
        <w:t>, and lamps</w:t>
      </w:r>
      <w:r>
        <w:rPr>
          <w:szCs w:val="22"/>
        </w:rPr>
        <w:t xml:space="preserve"> ((</w:t>
      </w:r>
      <w:r w:rsidRPr="00926AE9">
        <w:rPr>
          <w:szCs w:val="22"/>
        </w:rPr>
        <w:t>§ 1605</w:t>
      </w:r>
      <w:r>
        <w:rPr>
          <w:szCs w:val="22"/>
        </w:rPr>
        <w:t xml:space="preserve"> (k))</w:t>
      </w:r>
      <w:r w:rsidRPr="007826D5">
        <w:rPr>
          <w:szCs w:val="22"/>
        </w:rPr>
        <w:t>.</w:t>
      </w:r>
    </w:p>
    <w:p w14:paraId="327B48B7" w14:textId="289EF2FB" w:rsidR="003B5C13" w:rsidRPr="007826D5" w:rsidRDefault="003B5C13" w:rsidP="003B5C13">
      <w:pPr>
        <w:rPr>
          <w:szCs w:val="22"/>
        </w:rPr>
      </w:pPr>
      <w:r w:rsidRPr="007826D5">
        <w:rPr>
          <w:b/>
          <w:szCs w:val="22"/>
        </w:rPr>
        <w:t>2012 Federal Standards for General Service Fluorescent Lamps</w:t>
      </w:r>
      <w:r w:rsidR="00251068">
        <w:rPr>
          <w:rStyle w:val="FootnoteReference"/>
          <w:szCs w:val="22"/>
        </w:rPr>
        <w:footnoteReference w:id="9"/>
      </w:r>
      <w:r w:rsidRPr="007826D5">
        <w:rPr>
          <w:szCs w:val="22"/>
        </w:rPr>
        <w:t xml:space="preserve"> issued by the U.S. Department of Energy </w:t>
      </w:r>
      <w:r>
        <w:rPr>
          <w:szCs w:val="22"/>
        </w:rPr>
        <w:t>(DOE) includes</w:t>
      </w:r>
      <w:r w:rsidRPr="007826D5">
        <w:rPr>
          <w:szCs w:val="22"/>
        </w:rPr>
        <w:t xml:space="preserve"> </w:t>
      </w:r>
      <w:r>
        <w:rPr>
          <w:szCs w:val="22"/>
        </w:rPr>
        <w:t>energy conservation standards</w:t>
      </w:r>
      <w:r w:rsidRPr="007826D5">
        <w:rPr>
          <w:szCs w:val="22"/>
        </w:rPr>
        <w:t xml:space="preserve"> that apply to various linear fluorescent lamp types</w:t>
      </w:r>
      <w:r>
        <w:rPr>
          <w:szCs w:val="22"/>
        </w:rPr>
        <w:t>.</w:t>
      </w:r>
      <w:r w:rsidRPr="007826D5">
        <w:rPr>
          <w:szCs w:val="22"/>
        </w:rPr>
        <w:t xml:space="preserve"> </w:t>
      </w:r>
    </w:p>
    <w:p w14:paraId="11D8526A" w14:textId="77777777" w:rsidR="001737DF" w:rsidRPr="00574E86" w:rsidRDefault="001737DF" w:rsidP="0073515B">
      <w:pPr>
        <w:pStyle w:val="Reminders"/>
        <w:rPr>
          <w:rFonts w:asciiTheme="minorHAnsi" w:hAnsiTheme="minorHAnsi" w:cstheme="minorHAnsi"/>
          <w:b/>
          <w:i w:val="0"/>
          <w:color w:val="auto"/>
          <w:szCs w:val="22"/>
        </w:rPr>
      </w:pPr>
    </w:p>
    <w:p w14:paraId="32DE6BC0" w14:textId="77777777" w:rsidR="007D230B" w:rsidRPr="007D230B" w:rsidRDefault="007D230B" w:rsidP="007A3687">
      <w:pPr>
        <w:pStyle w:val="eTRMHeading3"/>
      </w:pPr>
      <w:bookmarkStart w:id="21" w:name="_Toc486490851"/>
      <w:bookmarkStart w:id="22" w:name="_Toc486580922"/>
      <w:bookmarkStart w:id="23" w:name="_Toc40948490"/>
      <w:r w:rsidRPr="00A83458">
        <w:t>Normalizing</w:t>
      </w:r>
      <w:r w:rsidRPr="00171BB8">
        <w:t xml:space="preserve"> Unit</w:t>
      </w:r>
      <w:bookmarkEnd w:id="21"/>
      <w:bookmarkEnd w:id="22"/>
      <w:bookmarkEnd w:id="23"/>
    </w:p>
    <w:p w14:paraId="19D863EB" w14:textId="77777777" w:rsidR="009C31A4" w:rsidRDefault="007A3687" w:rsidP="00486585">
      <w:r>
        <w:t>The normalizing unit is per lamp.</w:t>
      </w:r>
    </w:p>
    <w:p w14:paraId="1D7DE692" w14:textId="77777777" w:rsidR="005D2E2C" w:rsidRPr="007D230B" w:rsidRDefault="005D2E2C" w:rsidP="00486585"/>
    <w:p w14:paraId="02032B5C" w14:textId="77777777" w:rsidR="007D230B" w:rsidRPr="004B06E3" w:rsidRDefault="007D230B" w:rsidP="00574E86">
      <w:pPr>
        <w:pStyle w:val="eTRMHeading3"/>
        <w:keepNext w:val="0"/>
        <w:keepLines w:val="0"/>
      </w:pPr>
      <w:bookmarkStart w:id="24" w:name="_Toc486490852"/>
      <w:bookmarkStart w:id="25" w:name="_Toc486580923"/>
      <w:bookmarkStart w:id="26" w:name="_Toc40948491"/>
      <w:r w:rsidRPr="004B06E3">
        <w:t>Program Requirements</w:t>
      </w:r>
      <w:bookmarkEnd w:id="24"/>
      <w:bookmarkEnd w:id="25"/>
      <w:bookmarkEnd w:id="26"/>
      <w:r w:rsidRPr="004B06E3">
        <w:t xml:space="preserve"> </w:t>
      </w:r>
    </w:p>
    <w:p w14:paraId="78FAA7DC" w14:textId="77777777" w:rsidR="00574E86" w:rsidRDefault="00574E86" w:rsidP="00574E86">
      <w:pPr>
        <w:pStyle w:val="eTRMHeading5"/>
        <w:keepNext/>
        <w:keepLines/>
      </w:pPr>
      <w:bookmarkStart w:id="27" w:name="_Hlk516047641"/>
      <w:r>
        <w:t>Measure Implementation Eligibility</w:t>
      </w:r>
    </w:p>
    <w:p w14:paraId="4306A30D" w14:textId="77777777" w:rsidR="00574E86" w:rsidRDefault="00574E86" w:rsidP="00574E86">
      <w:bookmarkStart w:id="28" w:name="_Hlk527543844"/>
      <w:bookmarkStart w:id="29"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xml:space="preserve">. Measure application type is a categorization based on the circumstances and timing of the measure installation; each measure application type is distinguished by its baseline </w:t>
      </w:r>
      <w:r w:rsidRPr="00E35B8D">
        <w:lastRenderedPageBreak/>
        <w:t>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8"/>
    </w:p>
    <w:bookmarkEnd w:id="29"/>
    <w:p w14:paraId="70A9F493" w14:textId="77777777" w:rsidR="00574E86" w:rsidRPr="00CC4643" w:rsidRDefault="00574E86" w:rsidP="00574E86">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5ABB4064" w14:textId="3B62697E" w:rsidR="003B5C13" w:rsidRDefault="003B5C13">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3B5C13" w:rsidRPr="003B5C13" w14:paraId="3B9A8CFC" w14:textId="77777777" w:rsidTr="0055424F">
        <w:trPr>
          <w:cantSplit/>
          <w:trHeight w:val="20"/>
          <w:tblHeader/>
        </w:trPr>
        <w:tc>
          <w:tcPr>
            <w:tcW w:w="3024" w:type="dxa"/>
            <w:shd w:val="clear" w:color="auto" w:fill="F2F2F2" w:themeFill="background1" w:themeFillShade="F2"/>
            <w:noWrap/>
            <w:tcMar>
              <w:top w:w="0" w:type="dxa"/>
              <w:left w:w="108" w:type="dxa"/>
              <w:bottom w:w="0" w:type="dxa"/>
              <w:right w:w="108" w:type="dxa"/>
            </w:tcMar>
            <w:vAlign w:val="center"/>
            <w:hideMark/>
          </w:tcPr>
          <w:p w14:paraId="5CA21A10" w14:textId="77777777" w:rsidR="003B5C13" w:rsidRPr="003B5C13" w:rsidRDefault="003B5C13" w:rsidP="0055424F">
            <w:pPr>
              <w:spacing w:before="0" w:after="0" w:line="240" w:lineRule="auto"/>
              <w:rPr>
                <w:b/>
                <w:bCs/>
                <w:sz w:val="20"/>
                <w:szCs w:val="20"/>
              </w:rPr>
            </w:pPr>
            <w:r w:rsidRPr="003B5C13">
              <w:rPr>
                <w:b/>
                <w:bCs/>
                <w:sz w:val="20"/>
                <w:szCs w:val="20"/>
              </w:rPr>
              <w:t>Measure Application Type</w:t>
            </w:r>
          </w:p>
        </w:tc>
        <w:tc>
          <w:tcPr>
            <w:tcW w:w="3024" w:type="dxa"/>
            <w:shd w:val="clear" w:color="auto" w:fill="F2F2F2" w:themeFill="background1" w:themeFillShade="F2"/>
            <w:noWrap/>
            <w:tcMar>
              <w:top w:w="0" w:type="dxa"/>
              <w:left w:w="108" w:type="dxa"/>
              <w:bottom w:w="0" w:type="dxa"/>
              <w:right w:w="108" w:type="dxa"/>
            </w:tcMar>
            <w:vAlign w:val="center"/>
            <w:hideMark/>
          </w:tcPr>
          <w:p w14:paraId="51CEBA91" w14:textId="77777777" w:rsidR="003B5C13" w:rsidRPr="003B5C13" w:rsidRDefault="003B5C13" w:rsidP="0055424F">
            <w:pPr>
              <w:spacing w:before="0" w:after="0" w:line="240" w:lineRule="auto"/>
              <w:rPr>
                <w:b/>
                <w:bCs/>
                <w:sz w:val="20"/>
                <w:szCs w:val="20"/>
              </w:rPr>
            </w:pPr>
            <w:r w:rsidRPr="003B5C13">
              <w:rPr>
                <w:b/>
                <w:bCs/>
                <w:sz w:val="20"/>
                <w:szCs w:val="20"/>
              </w:rPr>
              <w:t>Delivery Type</w:t>
            </w:r>
          </w:p>
        </w:tc>
        <w:tc>
          <w:tcPr>
            <w:tcW w:w="3024" w:type="dxa"/>
            <w:shd w:val="clear" w:color="auto" w:fill="F2F2F2" w:themeFill="background1" w:themeFillShade="F2"/>
            <w:noWrap/>
            <w:tcMar>
              <w:top w:w="0" w:type="dxa"/>
              <w:left w:w="108" w:type="dxa"/>
              <w:bottom w:w="0" w:type="dxa"/>
              <w:right w:w="108" w:type="dxa"/>
            </w:tcMar>
            <w:vAlign w:val="center"/>
            <w:hideMark/>
          </w:tcPr>
          <w:p w14:paraId="02D835F4" w14:textId="77777777" w:rsidR="003B5C13" w:rsidRPr="003B5C13" w:rsidRDefault="003B5C13" w:rsidP="0055424F">
            <w:pPr>
              <w:spacing w:before="0" w:after="0" w:line="240" w:lineRule="auto"/>
              <w:rPr>
                <w:b/>
                <w:bCs/>
                <w:sz w:val="20"/>
                <w:szCs w:val="20"/>
              </w:rPr>
            </w:pPr>
            <w:r w:rsidRPr="003B5C13">
              <w:rPr>
                <w:b/>
                <w:bCs/>
                <w:sz w:val="20"/>
                <w:szCs w:val="20"/>
              </w:rPr>
              <w:t>Sector</w:t>
            </w:r>
          </w:p>
        </w:tc>
      </w:tr>
      <w:tr w:rsidR="003B5C13" w:rsidRPr="003B5C13" w14:paraId="6E33605E" w14:textId="77777777" w:rsidTr="0055424F">
        <w:trPr>
          <w:cantSplit/>
          <w:trHeight w:val="20"/>
        </w:trPr>
        <w:tc>
          <w:tcPr>
            <w:tcW w:w="3024" w:type="dxa"/>
            <w:noWrap/>
            <w:tcMar>
              <w:top w:w="0" w:type="dxa"/>
              <w:left w:w="108" w:type="dxa"/>
              <w:bottom w:w="0" w:type="dxa"/>
              <w:right w:w="108" w:type="dxa"/>
            </w:tcMar>
            <w:vAlign w:val="center"/>
          </w:tcPr>
          <w:p w14:paraId="331F73FF" w14:textId="0FEE3261" w:rsidR="003B5C13" w:rsidRPr="003B5C13" w:rsidRDefault="003B5C13" w:rsidP="0055424F">
            <w:pPr>
              <w:spacing w:before="0" w:after="0" w:line="240" w:lineRule="auto"/>
              <w:rPr>
                <w:sz w:val="20"/>
                <w:szCs w:val="20"/>
              </w:rPr>
            </w:pPr>
            <w:r w:rsidRPr="003B5C13">
              <w:rPr>
                <w:sz w:val="20"/>
                <w:szCs w:val="20"/>
              </w:rPr>
              <w:t xml:space="preserve">Accelerated </w:t>
            </w:r>
            <w:r w:rsidR="0055424F">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58B1BCF3" w14:textId="77777777" w:rsidR="003B5C13" w:rsidRPr="003B5C13" w:rsidRDefault="003B5C13" w:rsidP="0055424F">
            <w:pPr>
              <w:spacing w:before="0" w:after="0" w:line="240" w:lineRule="auto"/>
              <w:rPr>
                <w:sz w:val="20"/>
                <w:szCs w:val="20"/>
              </w:rPr>
            </w:pPr>
            <w:proofErr w:type="spellStart"/>
            <w:r w:rsidRPr="003B5C13">
              <w:rPr>
                <w:sz w:val="20"/>
                <w:szCs w:val="20"/>
              </w:rPr>
              <w:t>DnDeemDI</w:t>
            </w:r>
            <w:proofErr w:type="spellEnd"/>
          </w:p>
        </w:tc>
        <w:tc>
          <w:tcPr>
            <w:tcW w:w="3024" w:type="dxa"/>
            <w:noWrap/>
            <w:tcMar>
              <w:top w:w="0" w:type="dxa"/>
              <w:left w:w="108" w:type="dxa"/>
              <w:bottom w:w="0" w:type="dxa"/>
              <w:right w:w="108" w:type="dxa"/>
            </w:tcMar>
            <w:vAlign w:val="center"/>
          </w:tcPr>
          <w:p w14:paraId="35AAA2C6" w14:textId="604593FF" w:rsidR="003B5C13" w:rsidRPr="003B5C13" w:rsidRDefault="003B5C13" w:rsidP="0055424F">
            <w:pPr>
              <w:spacing w:before="0" w:after="0" w:line="240" w:lineRule="auto"/>
              <w:rPr>
                <w:sz w:val="20"/>
                <w:szCs w:val="20"/>
              </w:rPr>
            </w:pPr>
            <w:r>
              <w:rPr>
                <w:sz w:val="20"/>
                <w:szCs w:val="20"/>
              </w:rPr>
              <w:t>Com</w:t>
            </w:r>
          </w:p>
        </w:tc>
      </w:tr>
      <w:tr w:rsidR="0055424F" w:rsidRPr="003B5C13" w14:paraId="28815044" w14:textId="77777777" w:rsidTr="0055424F">
        <w:trPr>
          <w:cantSplit/>
          <w:trHeight w:val="20"/>
        </w:trPr>
        <w:tc>
          <w:tcPr>
            <w:tcW w:w="3024" w:type="dxa"/>
            <w:noWrap/>
            <w:tcMar>
              <w:top w:w="0" w:type="dxa"/>
              <w:left w:w="108" w:type="dxa"/>
              <w:bottom w:w="0" w:type="dxa"/>
              <w:right w:w="108" w:type="dxa"/>
            </w:tcMar>
            <w:vAlign w:val="center"/>
          </w:tcPr>
          <w:p w14:paraId="4404D934" w14:textId="5B37442C" w:rsidR="0055424F" w:rsidRPr="003B5C13" w:rsidRDefault="0055424F" w:rsidP="0055424F">
            <w:pPr>
              <w:spacing w:before="0" w:after="0" w:line="240" w:lineRule="auto"/>
              <w:rPr>
                <w:sz w:val="20"/>
                <w:szCs w:val="20"/>
              </w:rPr>
            </w:pPr>
            <w:r w:rsidRPr="003B5C13">
              <w:rPr>
                <w:sz w:val="20"/>
                <w:szCs w:val="20"/>
              </w:rPr>
              <w:t xml:space="preserve">Accelerated </w:t>
            </w:r>
            <w:r>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090D7ED4" w14:textId="77777777" w:rsidR="0055424F" w:rsidRPr="003B5C13" w:rsidRDefault="0055424F" w:rsidP="0055424F">
            <w:pPr>
              <w:spacing w:before="0" w:after="0" w:line="240" w:lineRule="auto"/>
              <w:rPr>
                <w:sz w:val="20"/>
                <w:szCs w:val="20"/>
              </w:rPr>
            </w:pPr>
            <w:proofErr w:type="spellStart"/>
            <w:r w:rsidRPr="003B5C13">
              <w:rPr>
                <w:sz w:val="20"/>
                <w:szCs w:val="20"/>
              </w:rPr>
              <w:t>DnDeemed</w:t>
            </w:r>
            <w:proofErr w:type="spellEnd"/>
          </w:p>
        </w:tc>
        <w:tc>
          <w:tcPr>
            <w:tcW w:w="3024" w:type="dxa"/>
            <w:noWrap/>
            <w:tcMar>
              <w:top w:w="0" w:type="dxa"/>
              <w:left w:w="108" w:type="dxa"/>
              <w:bottom w:w="0" w:type="dxa"/>
              <w:right w:w="108" w:type="dxa"/>
            </w:tcMar>
            <w:vAlign w:val="center"/>
          </w:tcPr>
          <w:p w14:paraId="65C743CF" w14:textId="34A8D8AC" w:rsidR="0055424F" w:rsidRPr="003B5C13" w:rsidRDefault="0055424F" w:rsidP="0055424F">
            <w:pPr>
              <w:spacing w:before="0" w:after="0" w:line="240" w:lineRule="auto"/>
              <w:rPr>
                <w:sz w:val="20"/>
                <w:szCs w:val="20"/>
              </w:rPr>
            </w:pPr>
            <w:r>
              <w:rPr>
                <w:sz w:val="20"/>
                <w:szCs w:val="20"/>
              </w:rPr>
              <w:t>Com</w:t>
            </w:r>
          </w:p>
        </w:tc>
      </w:tr>
      <w:tr w:rsidR="0055424F" w:rsidRPr="003B5C13" w14:paraId="74B5E602" w14:textId="77777777" w:rsidTr="0055424F">
        <w:trPr>
          <w:cantSplit/>
          <w:trHeight w:val="20"/>
        </w:trPr>
        <w:tc>
          <w:tcPr>
            <w:tcW w:w="3024" w:type="dxa"/>
            <w:noWrap/>
            <w:tcMar>
              <w:top w:w="0" w:type="dxa"/>
              <w:left w:w="108" w:type="dxa"/>
              <w:bottom w:w="0" w:type="dxa"/>
              <w:right w:w="108" w:type="dxa"/>
            </w:tcMar>
            <w:vAlign w:val="center"/>
          </w:tcPr>
          <w:p w14:paraId="03F1020B" w14:textId="7F6395BD" w:rsidR="0055424F" w:rsidRPr="003B5C13" w:rsidRDefault="0055424F" w:rsidP="0055424F">
            <w:pPr>
              <w:spacing w:before="0" w:after="0" w:line="240" w:lineRule="auto"/>
              <w:rPr>
                <w:sz w:val="20"/>
                <w:szCs w:val="20"/>
              </w:rPr>
            </w:pPr>
            <w:r w:rsidRPr="003B5C13">
              <w:rPr>
                <w:sz w:val="20"/>
                <w:szCs w:val="20"/>
              </w:rPr>
              <w:t xml:space="preserve">Accelerated </w:t>
            </w:r>
            <w:r>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4FE82275" w14:textId="0E3933F8" w:rsidR="0055424F" w:rsidRPr="003B5C13" w:rsidRDefault="0055424F" w:rsidP="0055424F">
            <w:pPr>
              <w:spacing w:before="0" w:after="0" w:line="240" w:lineRule="auto"/>
              <w:rPr>
                <w:sz w:val="20"/>
                <w:szCs w:val="20"/>
              </w:rPr>
            </w:pPr>
            <w:proofErr w:type="spellStart"/>
            <w:r w:rsidRPr="003B5C13">
              <w:rPr>
                <w:sz w:val="20"/>
                <w:szCs w:val="20"/>
              </w:rPr>
              <w:t>UpDeemed</w:t>
            </w:r>
            <w:proofErr w:type="spellEnd"/>
            <w:r w:rsidRPr="003B5C13">
              <w:rPr>
                <w:sz w:val="20"/>
                <w:szCs w:val="20"/>
              </w:rPr>
              <w:t xml:space="preserve"> </w:t>
            </w:r>
          </w:p>
        </w:tc>
        <w:tc>
          <w:tcPr>
            <w:tcW w:w="3024" w:type="dxa"/>
            <w:noWrap/>
            <w:tcMar>
              <w:top w:w="0" w:type="dxa"/>
              <w:left w:w="108" w:type="dxa"/>
              <w:bottom w:w="0" w:type="dxa"/>
              <w:right w:w="108" w:type="dxa"/>
            </w:tcMar>
            <w:vAlign w:val="center"/>
          </w:tcPr>
          <w:p w14:paraId="177EC0C4" w14:textId="58D47D63" w:rsidR="0055424F" w:rsidRPr="003B5C13" w:rsidRDefault="0055424F" w:rsidP="0055424F">
            <w:pPr>
              <w:spacing w:before="0" w:after="0" w:line="240" w:lineRule="auto"/>
              <w:rPr>
                <w:sz w:val="20"/>
                <w:szCs w:val="20"/>
              </w:rPr>
            </w:pPr>
            <w:r>
              <w:rPr>
                <w:sz w:val="20"/>
                <w:szCs w:val="20"/>
              </w:rPr>
              <w:t>Com</w:t>
            </w:r>
          </w:p>
        </w:tc>
      </w:tr>
      <w:tr w:rsidR="0055424F" w:rsidRPr="003B5C13" w14:paraId="5FC1AC0B" w14:textId="77777777" w:rsidTr="0055424F">
        <w:trPr>
          <w:cantSplit/>
          <w:trHeight w:val="20"/>
        </w:trPr>
        <w:tc>
          <w:tcPr>
            <w:tcW w:w="3024" w:type="dxa"/>
            <w:noWrap/>
            <w:tcMar>
              <w:top w:w="0" w:type="dxa"/>
              <w:left w:w="108" w:type="dxa"/>
              <w:bottom w:w="0" w:type="dxa"/>
              <w:right w:w="108" w:type="dxa"/>
            </w:tcMar>
            <w:vAlign w:val="center"/>
          </w:tcPr>
          <w:p w14:paraId="1C853AC8" w14:textId="4F574500" w:rsidR="0055424F" w:rsidRPr="003B5C13" w:rsidRDefault="0055424F" w:rsidP="0055424F">
            <w:pPr>
              <w:spacing w:before="0" w:after="0" w:line="240" w:lineRule="auto"/>
              <w:rPr>
                <w:sz w:val="20"/>
                <w:szCs w:val="20"/>
              </w:rPr>
            </w:pPr>
            <w:r w:rsidRPr="003B5C13">
              <w:rPr>
                <w:sz w:val="20"/>
                <w:szCs w:val="20"/>
              </w:rPr>
              <w:t xml:space="preserve">Accelerated </w:t>
            </w:r>
            <w:r>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3E2CC8C6" w14:textId="77777777" w:rsidR="0055424F" w:rsidRPr="003B5C13" w:rsidRDefault="0055424F" w:rsidP="0055424F">
            <w:pPr>
              <w:spacing w:before="0" w:after="0" w:line="240" w:lineRule="auto"/>
              <w:rPr>
                <w:sz w:val="20"/>
                <w:szCs w:val="20"/>
              </w:rPr>
            </w:pPr>
            <w:proofErr w:type="spellStart"/>
            <w:r w:rsidRPr="003B5C13">
              <w:rPr>
                <w:sz w:val="20"/>
                <w:szCs w:val="20"/>
              </w:rPr>
              <w:t>DnDeemDI</w:t>
            </w:r>
            <w:proofErr w:type="spellEnd"/>
          </w:p>
        </w:tc>
        <w:tc>
          <w:tcPr>
            <w:tcW w:w="3024" w:type="dxa"/>
            <w:noWrap/>
            <w:tcMar>
              <w:top w:w="0" w:type="dxa"/>
              <w:left w:w="108" w:type="dxa"/>
              <w:bottom w:w="0" w:type="dxa"/>
              <w:right w:w="108" w:type="dxa"/>
            </w:tcMar>
            <w:vAlign w:val="center"/>
          </w:tcPr>
          <w:p w14:paraId="571F1DA8" w14:textId="68084AB1" w:rsidR="0055424F" w:rsidRPr="003B5C13" w:rsidRDefault="0055424F" w:rsidP="0055424F">
            <w:pPr>
              <w:spacing w:before="0" w:after="0" w:line="240" w:lineRule="auto"/>
              <w:rPr>
                <w:sz w:val="20"/>
                <w:szCs w:val="20"/>
              </w:rPr>
            </w:pPr>
            <w:r>
              <w:rPr>
                <w:sz w:val="20"/>
                <w:szCs w:val="20"/>
              </w:rPr>
              <w:t>Ag</w:t>
            </w:r>
          </w:p>
        </w:tc>
      </w:tr>
      <w:tr w:rsidR="0055424F" w:rsidRPr="003B5C13" w14:paraId="3DD9CF80" w14:textId="77777777" w:rsidTr="0055424F">
        <w:trPr>
          <w:cantSplit/>
          <w:trHeight w:val="20"/>
        </w:trPr>
        <w:tc>
          <w:tcPr>
            <w:tcW w:w="3024" w:type="dxa"/>
            <w:noWrap/>
            <w:tcMar>
              <w:top w:w="0" w:type="dxa"/>
              <w:left w:w="108" w:type="dxa"/>
              <w:bottom w:w="0" w:type="dxa"/>
              <w:right w:w="108" w:type="dxa"/>
            </w:tcMar>
            <w:vAlign w:val="center"/>
          </w:tcPr>
          <w:p w14:paraId="23F1FF0F" w14:textId="0A33BAE9" w:rsidR="0055424F" w:rsidRPr="003B5C13" w:rsidRDefault="0055424F" w:rsidP="0055424F">
            <w:pPr>
              <w:spacing w:before="0" w:after="0" w:line="240" w:lineRule="auto"/>
              <w:rPr>
                <w:sz w:val="20"/>
                <w:szCs w:val="20"/>
              </w:rPr>
            </w:pPr>
            <w:r w:rsidRPr="003B5C13">
              <w:rPr>
                <w:sz w:val="20"/>
                <w:szCs w:val="20"/>
              </w:rPr>
              <w:t xml:space="preserve">Accelerated </w:t>
            </w:r>
            <w:r>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15D2ACDB" w14:textId="77777777" w:rsidR="0055424F" w:rsidRPr="003B5C13" w:rsidRDefault="0055424F" w:rsidP="0055424F">
            <w:pPr>
              <w:spacing w:before="0" w:after="0" w:line="240" w:lineRule="auto"/>
              <w:rPr>
                <w:sz w:val="20"/>
                <w:szCs w:val="20"/>
              </w:rPr>
            </w:pPr>
            <w:proofErr w:type="spellStart"/>
            <w:r w:rsidRPr="003B5C13">
              <w:rPr>
                <w:sz w:val="20"/>
                <w:szCs w:val="20"/>
              </w:rPr>
              <w:t>DnDeemed</w:t>
            </w:r>
            <w:proofErr w:type="spellEnd"/>
          </w:p>
        </w:tc>
        <w:tc>
          <w:tcPr>
            <w:tcW w:w="3024" w:type="dxa"/>
            <w:noWrap/>
            <w:tcMar>
              <w:top w:w="0" w:type="dxa"/>
              <w:left w:w="108" w:type="dxa"/>
              <w:bottom w:w="0" w:type="dxa"/>
              <w:right w:w="108" w:type="dxa"/>
            </w:tcMar>
            <w:vAlign w:val="center"/>
          </w:tcPr>
          <w:p w14:paraId="4E3E0F32" w14:textId="572849B1" w:rsidR="0055424F" w:rsidRPr="003B5C13" w:rsidRDefault="0055424F" w:rsidP="0055424F">
            <w:pPr>
              <w:spacing w:before="0" w:after="0" w:line="240" w:lineRule="auto"/>
              <w:rPr>
                <w:sz w:val="20"/>
                <w:szCs w:val="20"/>
              </w:rPr>
            </w:pPr>
            <w:r>
              <w:rPr>
                <w:sz w:val="20"/>
                <w:szCs w:val="20"/>
              </w:rPr>
              <w:t>Ag</w:t>
            </w:r>
          </w:p>
        </w:tc>
      </w:tr>
      <w:tr w:rsidR="0055424F" w:rsidRPr="003B5C13" w14:paraId="4622EBA7" w14:textId="77777777" w:rsidTr="0055424F">
        <w:trPr>
          <w:cantSplit/>
          <w:trHeight w:val="20"/>
        </w:trPr>
        <w:tc>
          <w:tcPr>
            <w:tcW w:w="3024" w:type="dxa"/>
            <w:noWrap/>
            <w:tcMar>
              <w:top w:w="0" w:type="dxa"/>
              <w:left w:w="108" w:type="dxa"/>
              <w:bottom w:w="0" w:type="dxa"/>
              <w:right w:w="108" w:type="dxa"/>
            </w:tcMar>
            <w:vAlign w:val="center"/>
          </w:tcPr>
          <w:p w14:paraId="67FA2F46" w14:textId="08F42214" w:rsidR="0055424F" w:rsidRPr="003B5C13" w:rsidRDefault="0055424F" w:rsidP="0055424F">
            <w:pPr>
              <w:spacing w:before="0" w:after="0" w:line="240" w:lineRule="auto"/>
              <w:rPr>
                <w:sz w:val="20"/>
                <w:szCs w:val="20"/>
              </w:rPr>
            </w:pPr>
            <w:r w:rsidRPr="003B5C13">
              <w:rPr>
                <w:sz w:val="20"/>
                <w:szCs w:val="20"/>
              </w:rPr>
              <w:t xml:space="preserve">Accelerated </w:t>
            </w:r>
            <w:r>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03F47F1A" w14:textId="77777777" w:rsidR="0055424F" w:rsidRPr="003B5C13" w:rsidRDefault="0055424F" w:rsidP="0055424F">
            <w:pPr>
              <w:spacing w:before="0" w:after="0" w:line="240" w:lineRule="auto"/>
              <w:rPr>
                <w:sz w:val="20"/>
                <w:szCs w:val="20"/>
              </w:rPr>
            </w:pPr>
            <w:proofErr w:type="spellStart"/>
            <w:r w:rsidRPr="003B5C13">
              <w:rPr>
                <w:sz w:val="20"/>
                <w:szCs w:val="20"/>
              </w:rPr>
              <w:t>UpDeemed</w:t>
            </w:r>
            <w:proofErr w:type="spellEnd"/>
            <w:r w:rsidRPr="003B5C13">
              <w:rPr>
                <w:sz w:val="20"/>
                <w:szCs w:val="20"/>
              </w:rPr>
              <w:t xml:space="preserve"> </w:t>
            </w:r>
          </w:p>
        </w:tc>
        <w:tc>
          <w:tcPr>
            <w:tcW w:w="3024" w:type="dxa"/>
            <w:noWrap/>
            <w:tcMar>
              <w:top w:w="0" w:type="dxa"/>
              <w:left w:w="108" w:type="dxa"/>
              <w:bottom w:w="0" w:type="dxa"/>
              <w:right w:w="108" w:type="dxa"/>
            </w:tcMar>
            <w:vAlign w:val="center"/>
          </w:tcPr>
          <w:p w14:paraId="55BCC6C9" w14:textId="774B4389" w:rsidR="0055424F" w:rsidRPr="003B5C13" w:rsidRDefault="0055424F" w:rsidP="0055424F">
            <w:pPr>
              <w:spacing w:before="0" w:after="0" w:line="240" w:lineRule="auto"/>
              <w:rPr>
                <w:sz w:val="20"/>
                <w:szCs w:val="20"/>
              </w:rPr>
            </w:pPr>
            <w:r>
              <w:rPr>
                <w:sz w:val="20"/>
                <w:szCs w:val="20"/>
              </w:rPr>
              <w:t>Ag</w:t>
            </w:r>
          </w:p>
        </w:tc>
      </w:tr>
      <w:tr w:rsidR="0055424F" w:rsidRPr="003B5C13" w14:paraId="25AE07BD" w14:textId="77777777" w:rsidTr="0055424F">
        <w:trPr>
          <w:cantSplit/>
          <w:trHeight w:val="20"/>
        </w:trPr>
        <w:tc>
          <w:tcPr>
            <w:tcW w:w="3024" w:type="dxa"/>
            <w:noWrap/>
            <w:tcMar>
              <w:top w:w="0" w:type="dxa"/>
              <w:left w:w="108" w:type="dxa"/>
              <w:bottom w:w="0" w:type="dxa"/>
              <w:right w:w="108" w:type="dxa"/>
            </w:tcMar>
            <w:vAlign w:val="center"/>
          </w:tcPr>
          <w:p w14:paraId="6267FB94" w14:textId="69398DDD" w:rsidR="0055424F" w:rsidRPr="003B5C13" w:rsidRDefault="0055424F" w:rsidP="0055424F">
            <w:pPr>
              <w:spacing w:before="0" w:after="0" w:line="240" w:lineRule="auto"/>
              <w:rPr>
                <w:sz w:val="20"/>
                <w:szCs w:val="20"/>
              </w:rPr>
            </w:pPr>
            <w:r w:rsidRPr="003B5C13">
              <w:rPr>
                <w:sz w:val="20"/>
                <w:szCs w:val="20"/>
              </w:rPr>
              <w:t xml:space="preserve">Accelerated </w:t>
            </w:r>
            <w:r>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4A2B46F0" w14:textId="77777777" w:rsidR="0055424F" w:rsidRPr="003B5C13" w:rsidRDefault="0055424F" w:rsidP="0055424F">
            <w:pPr>
              <w:spacing w:before="0" w:after="0" w:line="240" w:lineRule="auto"/>
              <w:rPr>
                <w:sz w:val="20"/>
                <w:szCs w:val="20"/>
              </w:rPr>
            </w:pPr>
            <w:proofErr w:type="spellStart"/>
            <w:r w:rsidRPr="003B5C13">
              <w:rPr>
                <w:sz w:val="20"/>
                <w:szCs w:val="20"/>
              </w:rPr>
              <w:t>DnDeemDI</w:t>
            </w:r>
            <w:proofErr w:type="spellEnd"/>
          </w:p>
        </w:tc>
        <w:tc>
          <w:tcPr>
            <w:tcW w:w="3024" w:type="dxa"/>
            <w:noWrap/>
            <w:tcMar>
              <w:top w:w="0" w:type="dxa"/>
              <w:left w:w="108" w:type="dxa"/>
              <w:bottom w:w="0" w:type="dxa"/>
              <w:right w:w="108" w:type="dxa"/>
            </w:tcMar>
            <w:vAlign w:val="center"/>
          </w:tcPr>
          <w:p w14:paraId="794D4DC9" w14:textId="019690BE" w:rsidR="0055424F" w:rsidRPr="003B5C13" w:rsidRDefault="0055424F" w:rsidP="0055424F">
            <w:pPr>
              <w:spacing w:before="0" w:after="0" w:line="240" w:lineRule="auto"/>
              <w:rPr>
                <w:sz w:val="20"/>
                <w:szCs w:val="20"/>
              </w:rPr>
            </w:pPr>
            <w:r>
              <w:rPr>
                <w:sz w:val="20"/>
                <w:szCs w:val="20"/>
              </w:rPr>
              <w:t>Ind</w:t>
            </w:r>
          </w:p>
        </w:tc>
      </w:tr>
      <w:tr w:rsidR="0055424F" w:rsidRPr="003B5C13" w14:paraId="3BE83F42" w14:textId="77777777" w:rsidTr="0055424F">
        <w:trPr>
          <w:cantSplit/>
          <w:trHeight w:val="20"/>
        </w:trPr>
        <w:tc>
          <w:tcPr>
            <w:tcW w:w="3024" w:type="dxa"/>
            <w:noWrap/>
            <w:tcMar>
              <w:top w:w="0" w:type="dxa"/>
              <w:left w:w="108" w:type="dxa"/>
              <w:bottom w:w="0" w:type="dxa"/>
              <w:right w:w="108" w:type="dxa"/>
            </w:tcMar>
            <w:vAlign w:val="center"/>
          </w:tcPr>
          <w:p w14:paraId="206BB0E8" w14:textId="1DF4123F" w:rsidR="0055424F" w:rsidRPr="003B5C13" w:rsidRDefault="0055424F" w:rsidP="0055424F">
            <w:pPr>
              <w:spacing w:before="0" w:after="0" w:line="240" w:lineRule="auto"/>
              <w:rPr>
                <w:sz w:val="20"/>
                <w:szCs w:val="20"/>
              </w:rPr>
            </w:pPr>
            <w:r w:rsidRPr="003B5C13">
              <w:rPr>
                <w:sz w:val="20"/>
                <w:szCs w:val="20"/>
              </w:rPr>
              <w:t xml:space="preserve">Accelerated </w:t>
            </w:r>
            <w:r>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5E6E868D" w14:textId="77777777" w:rsidR="0055424F" w:rsidRPr="003B5C13" w:rsidRDefault="0055424F" w:rsidP="0055424F">
            <w:pPr>
              <w:spacing w:before="0" w:after="0" w:line="240" w:lineRule="auto"/>
              <w:rPr>
                <w:sz w:val="20"/>
                <w:szCs w:val="20"/>
              </w:rPr>
            </w:pPr>
            <w:proofErr w:type="spellStart"/>
            <w:r w:rsidRPr="003B5C13">
              <w:rPr>
                <w:sz w:val="20"/>
                <w:szCs w:val="20"/>
              </w:rPr>
              <w:t>DnDeemed</w:t>
            </w:r>
            <w:proofErr w:type="spellEnd"/>
          </w:p>
        </w:tc>
        <w:tc>
          <w:tcPr>
            <w:tcW w:w="3024" w:type="dxa"/>
            <w:noWrap/>
            <w:tcMar>
              <w:top w:w="0" w:type="dxa"/>
              <w:left w:w="108" w:type="dxa"/>
              <w:bottom w:w="0" w:type="dxa"/>
              <w:right w:w="108" w:type="dxa"/>
            </w:tcMar>
            <w:vAlign w:val="center"/>
          </w:tcPr>
          <w:p w14:paraId="512CB9FF" w14:textId="0AF1603D" w:rsidR="0055424F" w:rsidRPr="003B5C13" w:rsidRDefault="0055424F" w:rsidP="0055424F">
            <w:pPr>
              <w:spacing w:before="0" w:after="0" w:line="240" w:lineRule="auto"/>
              <w:rPr>
                <w:sz w:val="20"/>
                <w:szCs w:val="20"/>
              </w:rPr>
            </w:pPr>
            <w:r>
              <w:rPr>
                <w:sz w:val="20"/>
                <w:szCs w:val="20"/>
              </w:rPr>
              <w:t>Ind</w:t>
            </w:r>
          </w:p>
        </w:tc>
      </w:tr>
      <w:tr w:rsidR="0055424F" w:rsidRPr="003B5C13" w14:paraId="330349AD" w14:textId="77777777" w:rsidTr="0055424F">
        <w:trPr>
          <w:cantSplit/>
          <w:trHeight w:val="20"/>
        </w:trPr>
        <w:tc>
          <w:tcPr>
            <w:tcW w:w="3024" w:type="dxa"/>
            <w:noWrap/>
            <w:tcMar>
              <w:top w:w="0" w:type="dxa"/>
              <w:left w:w="108" w:type="dxa"/>
              <w:bottom w:w="0" w:type="dxa"/>
              <w:right w:w="108" w:type="dxa"/>
            </w:tcMar>
            <w:vAlign w:val="center"/>
          </w:tcPr>
          <w:p w14:paraId="57CF95BA" w14:textId="5F7576F0" w:rsidR="0055424F" w:rsidRPr="003B5C13" w:rsidRDefault="0055424F" w:rsidP="0055424F">
            <w:pPr>
              <w:spacing w:before="0" w:after="0" w:line="240" w:lineRule="auto"/>
              <w:rPr>
                <w:sz w:val="20"/>
                <w:szCs w:val="20"/>
              </w:rPr>
            </w:pPr>
            <w:r w:rsidRPr="003B5C13">
              <w:rPr>
                <w:sz w:val="20"/>
                <w:szCs w:val="20"/>
              </w:rPr>
              <w:t xml:space="preserve">Accelerated </w:t>
            </w:r>
            <w:r>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51AFD6BD" w14:textId="77777777" w:rsidR="0055424F" w:rsidRPr="003B5C13" w:rsidRDefault="0055424F" w:rsidP="0055424F">
            <w:pPr>
              <w:spacing w:before="0" w:after="0" w:line="240" w:lineRule="auto"/>
              <w:rPr>
                <w:sz w:val="20"/>
                <w:szCs w:val="20"/>
              </w:rPr>
            </w:pPr>
            <w:proofErr w:type="spellStart"/>
            <w:r w:rsidRPr="003B5C13">
              <w:rPr>
                <w:sz w:val="20"/>
                <w:szCs w:val="20"/>
              </w:rPr>
              <w:t>UpDeemed</w:t>
            </w:r>
            <w:proofErr w:type="spellEnd"/>
            <w:r w:rsidRPr="003B5C13">
              <w:rPr>
                <w:sz w:val="20"/>
                <w:szCs w:val="20"/>
              </w:rPr>
              <w:t xml:space="preserve"> </w:t>
            </w:r>
          </w:p>
        </w:tc>
        <w:tc>
          <w:tcPr>
            <w:tcW w:w="3024" w:type="dxa"/>
            <w:noWrap/>
            <w:tcMar>
              <w:top w:w="0" w:type="dxa"/>
              <w:left w:w="108" w:type="dxa"/>
              <w:bottom w:w="0" w:type="dxa"/>
              <w:right w:w="108" w:type="dxa"/>
            </w:tcMar>
            <w:vAlign w:val="center"/>
          </w:tcPr>
          <w:p w14:paraId="61CDE627" w14:textId="1B123D83" w:rsidR="0055424F" w:rsidRPr="003B5C13" w:rsidRDefault="0055424F" w:rsidP="0055424F">
            <w:pPr>
              <w:spacing w:before="0" w:after="0" w:line="240" w:lineRule="auto"/>
              <w:rPr>
                <w:sz w:val="20"/>
                <w:szCs w:val="20"/>
              </w:rPr>
            </w:pPr>
            <w:r>
              <w:rPr>
                <w:sz w:val="20"/>
                <w:szCs w:val="20"/>
              </w:rPr>
              <w:t>Ind</w:t>
            </w:r>
          </w:p>
        </w:tc>
      </w:tr>
      <w:tr w:rsidR="0055424F" w:rsidRPr="003B5C13" w14:paraId="22018B8A" w14:textId="77777777" w:rsidTr="0055424F">
        <w:trPr>
          <w:cantSplit/>
          <w:trHeight w:val="20"/>
        </w:trPr>
        <w:tc>
          <w:tcPr>
            <w:tcW w:w="3024" w:type="dxa"/>
            <w:noWrap/>
            <w:tcMar>
              <w:top w:w="0" w:type="dxa"/>
              <w:left w:w="108" w:type="dxa"/>
              <w:bottom w:w="0" w:type="dxa"/>
              <w:right w:w="108" w:type="dxa"/>
            </w:tcMar>
            <w:vAlign w:val="center"/>
          </w:tcPr>
          <w:p w14:paraId="5E254C9B" w14:textId="735D8C3A" w:rsidR="0055424F" w:rsidRPr="003B5C13" w:rsidRDefault="0055424F" w:rsidP="0055424F">
            <w:pPr>
              <w:spacing w:before="0" w:after="0" w:line="240" w:lineRule="auto"/>
              <w:rPr>
                <w:sz w:val="20"/>
                <w:szCs w:val="20"/>
              </w:rPr>
            </w:pPr>
            <w:r w:rsidRPr="003B5C13">
              <w:rPr>
                <w:sz w:val="20"/>
                <w:szCs w:val="20"/>
              </w:rPr>
              <w:t xml:space="preserve">Accelerated </w:t>
            </w:r>
            <w:r>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57F8C99F" w14:textId="77777777" w:rsidR="0055424F" w:rsidRPr="003B5C13" w:rsidRDefault="0055424F" w:rsidP="0055424F">
            <w:pPr>
              <w:spacing w:before="0" w:after="0" w:line="240" w:lineRule="auto"/>
              <w:rPr>
                <w:sz w:val="20"/>
                <w:szCs w:val="20"/>
              </w:rPr>
            </w:pPr>
            <w:proofErr w:type="spellStart"/>
            <w:r w:rsidRPr="003B5C13">
              <w:rPr>
                <w:sz w:val="20"/>
                <w:szCs w:val="20"/>
              </w:rPr>
              <w:t>DnDeemDI</w:t>
            </w:r>
            <w:proofErr w:type="spellEnd"/>
          </w:p>
        </w:tc>
        <w:tc>
          <w:tcPr>
            <w:tcW w:w="3024" w:type="dxa"/>
            <w:noWrap/>
            <w:tcMar>
              <w:top w:w="0" w:type="dxa"/>
              <w:left w:w="108" w:type="dxa"/>
              <w:bottom w:w="0" w:type="dxa"/>
              <w:right w:w="108" w:type="dxa"/>
            </w:tcMar>
            <w:vAlign w:val="center"/>
          </w:tcPr>
          <w:p w14:paraId="7E5BC781" w14:textId="131D599B" w:rsidR="0055424F" w:rsidRPr="003B5C13" w:rsidRDefault="0055424F" w:rsidP="0055424F">
            <w:pPr>
              <w:spacing w:before="0" w:after="0" w:line="240" w:lineRule="auto"/>
              <w:rPr>
                <w:sz w:val="20"/>
                <w:szCs w:val="20"/>
              </w:rPr>
            </w:pPr>
            <w:r>
              <w:rPr>
                <w:sz w:val="20"/>
                <w:szCs w:val="20"/>
              </w:rPr>
              <w:t>Res</w:t>
            </w:r>
          </w:p>
        </w:tc>
      </w:tr>
      <w:tr w:rsidR="0055424F" w:rsidRPr="003B5C13" w14:paraId="18D4A0C1" w14:textId="77777777" w:rsidTr="0055424F">
        <w:trPr>
          <w:cantSplit/>
          <w:trHeight w:val="20"/>
        </w:trPr>
        <w:tc>
          <w:tcPr>
            <w:tcW w:w="3024" w:type="dxa"/>
            <w:noWrap/>
            <w:tcMar>
              <w:top w:w="0" w:type="dxa"/>
              <w:left w:w="108" w:type="dxa"/>
              <w:bottom w:w="0" w:type="dxa"/>
              <w:right w:w="108" w:type="dxa"/>
            </w:tcMar>
            <w:vAlign w:val="center"/>
          </w:tcPr>
          <w:p w14:paraId="3052E15C" w14:textId="3ED4B8CE" w:rsidR="0055424F" w:rsidRPr="003B5C13" w:rsidRDefault="0055424F" w:rsidP="0055424F">
            <w:pPr>
              <w:spacing w:before="0" w:after="0" w:line="240" w:lineRule="auto"/>
              <w:rPr>
                <w:sz w:val="20"/>
                <w:szCs w:val="20"/>
              </w:rPr>
            </w:pPr>
            <w:r w:rsidRPr="003B5C13">
              <w:rPr>
                <w:sz w:val="20"/>
                <w:szCs w:val="20"/>
              </w:rPr>
              <w:t xml:space="preserve">Accelerated </w:t>
            </w:r>
            <w:r>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769C510C" w14:textId="77777777" w:rsidR="0055424F" w:rsidRPr="003B5C13" w:rsidRDefault="0055424F" w:rsidP="0055424F">
            <w:pPr>
              <w:spacing w:before="0" w:after="0" w:line="240" w:lineRule="auto"/>
              <w:rPr>
                <w:sz w:val="20"/>
                <w:szCs w:val="20"/>
              </w:rPr>
            </w:pPr>
            <w:proofErr w:type="spellStart"/>
            <w:r w:rsidRPr="003B5C13">
              <w:rPr>
                <w:sz w:val="20"/>
                <w:szCs w:val="20"/>
              </w:rPr>
              <w:t>DnDeemed</w:t>
            </w:r>
            <w:proofErr w:type="spellEnd"/>
          </w:p>
        </w:tc>
        <w:tc>
          <w:tcPr>
            <w:tcW w:w="3024" w:type="dxa"/>
            <w:noWrap/>
            <w:tcMar>
              <w:top w:w="0" w:type="dxa"/>
              <w:left w:w="108" w:type="dxa"/>
              <w:bottom w:w="0" w:type="dxa"/>
              <w:right w:w="108" w:type="dxa"/>
            </w:tcMar>
            <w:vAlign w:val="center"/>
          </w:tcPr>
          <w:p w14:paraId="65DE3643" w14:textId="03E2107E" w:rsidR="0055424F" w:rsidRPr="003B5C13" w:rsidRDefault="0055424F" w:rsidP="0055424F">
            <w:pPr>
              <w:spacing w:before="0" w:after="0" w:line="240" w:lineRule="auto"/>
              <w:rPr>
                <w:sz w:val="20"/>
                <w:szCs w:val="20"/>
              </w:rPr>
            </w:pPr>
            <w:r>
              <w:rPr>
                <w:sz w:val="20"/>
                <w:szCs w:val="20"/>
              </w:rPr>
              <w:t>Res</w:t>
            </w:r>
          </w:p>
        </w:tc>
      </w:tr>
      <w:tr w:rsidR="0055424F" w:rsidRPr="003B5C13" w14:paraId="234A56CE" w14:textId="77777777" w:rsidTr="0055424F">
        <w:trPr>
          <w:cantSplit/>
          <w:trHeight w:val="20"/>
        </w:trPr>
        <w:tc>
          <w:tcPr>
            <w:tcW w:w="3024" w:type="dxa"/>
            <w:noWrap/>
            <w:tcMar>
              <w:top w:w="0" w:type="dxa"/>
              <w:left w:w="108" w:type="dxa"/>
              <w:bottom w:w="0" w:type="dxa"/>
              <w:right w:w="108" w:type="dxa"/>
            </w:tcMar>
            <w:vAlign w:val="center"/>
          </w:tcPr>
          <w:p w14:paraId="3027BB9E" w14:textId="1DAE4B9F" w:rsidR="0055424F" w:rsidRPr="003B5C13" w:rsidRDefault="0055424F" w:rsidP="0055424F">
            <w:pPr>
              <w:spacing w:before="0" w:after="0" w:line="240" w:lineRule="auto"/>
              <w:rPr>
                <w:sz w:val="20"/>
                <w:szCs w:val="20"/>
              </w:rPr>
            </w:pPr>
            <w:r w:rsidRPr="003B5C13">
              <w:rPr>
                <w:sz w:val="20"/>
                <w:szCs w:val="20"/>
              </w:rPr>
              <w:t xml:space="preserve">Accelerated </w:t>
            </w:r>
            <w:r>
              <w:rPr>
                <w:sz w:val="20"/>
                <w:szCs w:val="20"/>
              </w:rPr>
              <w:t>r</w:t>
            </w:r>
            <w:r w:rsidRPr="003B5C13">
              <w:rPr>
                <w:sz w:val="20"/>
                <w:szCs w:val="20"/>
              </w:rPr>
              <w:t xml:space="preserve">eplacement </w:t>
            </w:r>
          </w:p>
        </w:tc>
        <w:tc>
          <w:tcPr>
            <w:tcW w:w="3024" w:type="dxa"/>
            <w:noWrap/>
            <w:tcMar>
              <w:top w:w="0" w:type="dxa"/>
              <w:left w:w="108" w:type="dxa"/>
              <w:bottom w:w="0" w:type="dxa"/>
              <w:right w:w="108" w:type="dxa"/>
            </w:tcMar>
            <w:vAlign w:val="center"/>
          </w:tcPr>
          <w:p w14:paraId="7F557C61" w14:textId="77777777" w:rsidR="0055424F" w:rsidRPr="003B5C13" w:rsidRDefault="0055424F" w:rsidP="0055424F">
            <w:pPr>
              <w:spacing w:before="0" w:after="0" w:line="240" w:lineRule="auto"/>
              <w:rPr>
                <w:sz w:val="20"/>
                <w:szCs w:val="20"/>
              </w:rPr>
            </w:pPr>
            <w:proofErr w:type="spellStart"/>
            <w:r w:rsidRPr="003B5C13">
              <w:rPr>
                <w:sz w:val="20"/>
                <w:szCs w:val="20"/>
              </w:rPr>
              <w:t>UpDeemed</w:t>
            </w:r>
            <w:proofErr w:type="spellEnd"/>
            <w:r w:rsidRPr="003B5C13">
              <w:rPr>
                <w:sz w:val="20"/>
                <w:szCs w:val="20"/>
              </w:rPr>
              <w:t xml:space="preserve"> </w:t>
            </w:r>
          </w:p>
        </w:tc>
        <w:tc>
          <w:tcPr>
            <w:tcW w:w="3024" w:type="dxa"/>
            <w:noWrap/>
            <w:tcMar>
              <w:top w:w="0" w:type="dxa"/>
              <w:left w:w="108" w:type="dxa"/>
              <w:bottom w:w="0" w:type="dxa"/>
              <w:right w:w="108" w:type="dxa"/>
            </w:tcMar>
            <w:vAlign w:val="center"/>
          </w:tcPr>
          <w:p w14:paraId="0D91893B" w14:textId="054A38F7" w:rsidR="0055424F" w:rsidRPr="003B5C13" w:rsidRDefault="0055424F" w:rsidP="0055424F">
            <w:pPr>
              <w:spacing w:before="0" w:after="0" w:line="240" w:lineRule="auto"/>
              <w:rPr>
                <w:sz w:val="20"/>
                <w:szCs w:val="20"/>
              </w:rPr>
            </w:pPr>
            <w:r>
              <w:rPr>
                <w:sz w:val="20"/>
                <w:szCs w:val="20"/>
              </w:rPr>
              <w:t>Res</w:t>
            </w:r>
          </w:p>
        </w:tc>
      </w:tr>
    </w:tbl>
    <w:p w14:paraId="684C9CB9" w14:textId="7EA2F9CB" w:rsidR="003B5C13" w:rsidRDefault="003B5C13" w:rsidP="00C60494"/>
    <w:p w14:paraId="41A2469E" w14:textId="77777777" w:rsidR="00DC4CD9" w:rsidRPr="00A55AEE" w:rsidRDefault="00DC4CD9" w:rsidP="00DC4CD9">
      <w:pPr>
        <w:pStyle w:val="eTRMHeading5"/>
      </w:pPr>
      <w:r w:rsidRPr="00A55AEE">
        <w:t xml:space="preserve">Preponderance of Evidence </w:t>
      </w:r>
      <w:r>
        <w:t>R</w:t>
      </w:r>
      <w:r w:rsidRPr="00A55AEE">
        <w:t>equirements (POE)</w:t>
      </w:r>
    </w:p>
    <w:p w14:paraId="097C020E" w14:textId="49B6AC50" w:rsidR="00DC4CD9" w:rsidRPr="00956E72" w:rsidRDefault="00DC4CD9" w:rsidP="00DC4CD9">
      <w:pPr>
        <w:rPr>
          <w:b/>
        </w:rPr>
      </w:pPr>
      <w:r>
        <w:t>Even though</w:t>
      </w:r>
      <w:r w:rsidRPr="00956E72">
        <w:t xml:space="preserve"> POE </w:t>
      </w:r>
      <w:r>
        <w:t>is not explicitly required for approval by the California Public Utilities Commission (</w:t>
      </w:r>
      <w:r w:rsidRPr="00956E72">
        <w:t>CPUC</w:t>
      </w:r>
      <w:r>
        <w:t>)</w:t>
      </w:r>
      <w:r w:rsidR="00990F39">
        <w:t>,</w:t>
      </w:r>
      <w:r>
        <w:rPr>
          <w:rStyle w:val="FootnoteReference"/>
        </w:rPr>
        <w:footnoteReference w:id="10"/>
      </w:r>
      <w:r>
        <w:t xml:space="preserve"> </w:t>
      </w:r>
      <w:r w:rsidR="00990F39">
        <w:t>all program administrators and third-party program implementers are required to collect data as stated in the Date Collection Requiremen</w:t>
      </w:r>
      <w:r w:rsidR="00E2602D">
        <w:t>ts section that will satisfy POE</w:t>
      </w:r>
      <w:r w:rsidR="00990F39">
        <w:t xml:space="preserve"> requirements. </w:t>
      </w:r>
      <w:r w:rsidR="00712537">
        <w:t>This technology is dependent upon the existing condition baseline, and t</w:t>
      </w:r>
      <w:r w:rsidRPr="00956E72">
        <w:t>he data collection requirements</w:t>
      </w:r>
      <w:r>
        <w:t xml:space="preserve"> are intended to provide sufficient evidence of the disposal method and replacement of the </w:t>
      </w:r>
      <w:r w:rsidRPr="00956E72">
        <w:t>existing products</w:t>
      </w:r>
      <w:r w:rsidR="00990F39">
        <w:t>, including verification of</w:t>
      </w:r>
      <w:r>
        <w:t xml:space="preserve"> the </w:t>
      </w:r>
      <w:r w:rsidRPr="00956E72">
        <w:t>ballast and the compatibility.</w:t>
      </w:r>
      <w:r>
        <w:t xml:space="preserve"> </w:t>
      </w:r>
    </w:p>
    <w:p w14:paraId="4D55E4C5" w14:textId="77777777" w:rsidR="00DC4CD9" w:rsidRDefault="00DC4CD9" w:rsidP="00C60494"/>
    <w:bookmarkEnd w:id="27"/>
    <w:p w14:paraId="4EA3245D" w14:textId="77777777" w:rsidR="00AA46AF" w:rsidRDefault="00196649" w:rsidP="00524992">
      <w:pPr>
        <w:pStyle w:val="eTRMHeading5"/>
      </w:pPr>
      <w:r>
        <w:t>Eligible Products</w:t>
      </w:r>
    </w:p>
    <w:p w14:paraId="63B6E99D" w14:textId="26580F72" w:rsidR="00777912" w:rsidRDefault="00777912" w:rsidP="00524992">
      <w:r>
        <w:t>Qualified products must meet the following requirements</w:t>
      </w:r>
      <w:r w:rsidR="00A02D48">
        <w:t xml:space="preserve"> as well as the performance </w:t>
      </w:r>
      <w:r w:rsidR="00A02D48" w:rsidRPr="00DB4876">
        <w:t xml:space="preserve">criteria </w:t>
      </w:r>
      <w:r w:rsidR="00574E86">
        <w:t>specified below</w:t>
      </w:r>
      <w:r w:rsidR="00A02D48">
        <w:t>.</w:t>
      </w:r>
    </w:p>
    <w:p w14:paraId="657BF974" w14:textId="4E2CC5AD" w:rsidR="003B5C13" w:rsidRDefault="003B5C13" w:rsidP="00524992">
      <w:pPr>
        <w:pStyle w:val="eTRMBulletedText"/>
      </w:pPr>
      <w:r w:rsidRPr="00DB4876">
        <w:t>LED tube must be 4-fo</w:t>
      </w:r>
      <w:r>
        <w:t>ot and designated as UL Type A or UL Type A+B</w:t>
      </w:r>
      <w:r w:rsidR="00361185">
        <w:t>,</w:t>
      </w:r>
      <w:r>
        <w:t xml:space="preserve"> but must be configured as a UL Type A.</w:t>
      </w:r>
    </w:p>
    <w:p w14:paraId="24653BE7" w14:textId="1CD4ABE7" w:rsidR="003B5C13" w:rsidRDefault="003B5C13" w:rsidP="00524992">
      <w:pPr>
        <w:pStyle w:val="eTRMBulletedText"/>
      </w:pPr>
      <w:r w:rsidRPr="00DB4876">
        <w:t>The lamp must be listed under the Primary Use Category “Replacement Lamps (“plug and</w:t>
      </w:r>
      <w:r>
        <w:t xml:space="preserve"> play”) (UL Type A)” or “</w:t>
      </w:r>
      <w:r w:rsidRPr="00D71CCC">
        <w:t>Dual Mode Internal Driver (UL Type A and Type B)</w:t>
      </w:r>
      <w:r>
        <w:t>” on the</w:t>
      </w:r>
      <w:r w:rsidR="00956E72">
        <w:t xml:space="preserve"> </w:t>
      </w:r>
      <w:r w:rsidR="0015404D">
        <w:t>current</w:t>
      </w:r>
      <w:r>
        <w:t xml:space="preserve"> Design Lights Consortium qualified product list</w:t>
      </w:r>
      <w:r w:rsidR="0015404D">
        <w:t xml:space="preserve"> (</w:t>
      </w:r>
      <w:hyperlink r:id="rId22" w:history="1">
        <w:r w:rsidR="0015404D">
          <w:rPr>
            <w:rStyle w:val="Hyperlink"/>
          </w:rPr>
          <w:t>https://www.designlights.org/search/</w:t>
        </w:r>
      </w:hyperlink>
      <w:r w:rsidR="0015404D">
        <w:rPr>
          <w:rStyle w:val="Hyperlink"/>
        </w:rPr>
        <w:t>)</w:t>
      </w:r>
      <w:r w:rsidR="0015404D">
        <w:t>.</w:t>
      </w:r>
    </w:p>
    <w:p w14:paraId="6A584AAE" w14:textId="312A75E9" w:rsidR="003B5C13" w:rsidRDefault="00FD735E" w:rsidP="00524992">
      <w:pPr>
        <w:pStyle w:val="eTRMBulletedText"/>
      </w:pPr>
      <w:r w:rsidRPr="00FD735E">
        <w:lastRenderedPageBreak/>
        <w:t>TLEDs must be on the current DLC qualified products list and have a listed efficacy there of 145 LPW or higher</w:t>
      </w:r>
      <w:r w:rsidRPr="00FD735E" w:rsidDel="00FD735E">
        <w:t xml:space="preserve"> </w:t>
      </w:r>
    </w:p>
    <w:p w14:paraId="5CF3C2CC" w14:textId="647E6258" w:rsidR="00D27730" w:rsidRPr="00D27730" w:rsidRDefault="00D27730" w:rsidP="00524992">
      <w:pPr>
        <w:pStyle w:val="eTRMBulletedText"/>
        <w:rPr>
          <w:i/>
        </w:rPr>
      </w:pPr>
      <w:r>
        <w:t xml:space="preserve">The LED T8 Lamp specification sheet must also list all of the compatible ballast model numbers to ensure proper operation of the measure. </w:t>
      </w:r>
    </w:p>
    <w:p w14:paraId="40856445" w14:textId="7FA9FD84" w:rsidR="000521CC" w:rsidRDefault="000521CC" w:rsidP="000521CC">
      <w:pPr>
        <w:pStyle w:val="eTRMBulletedText"/>
      </w:pPr>
      <w:r>
        <w:t>The LED T8 Lamp must be installed in a fixture using a ballast found on its compatible ballast list.</w:t>
      </w:r>
      <w:r w:rsidR="00FC3474">
        <w:t xml:space="preserve"> If the existing ballasts are not listed on the compatible ballast list, following criteria must be met in order to qualify for a rebate.</w:t>
      </w:r>
    </w:p>
    <w:p w14:paraId="0445760F" w14:textId="1769EBF2" w:rsidR="00FC3474" w:rsidRDefault="00FC3474" w:rsidP="00FC3474">
      <w:pPr>
        <w:pStyle w:val="eTRMSub-bulletedText"/>
      </w:pPr>
      <w:r>
        <w:t>TLED must be installed in a manner that is consistent with all requirements listed in the TLEDs specification sheet.</w:t>
      </w:r>
    </w:p>
    <w:p w14:paraId="558D5F3B" w14:textId="5A574356" w:rsidR="00FC3474" w:rsidRDefault="00FC3474" w:rsidP="00FC3474">
      <w:pPr>
        <w:pStyle w:val="eTRMSub-bulletedText"/>
      </w:pPr>
      <w:r>
        <w:t>The ballasts that are not listed on compatible ballast list must be certified by independent test labs for compatibility and the certification must be submitted with application</w:t>
      </w:r>
    </w:p>
    <w:p w14:paraId="06046DE4" w14:textId="328C2994" w:rsidR="00FC3474" w:rsidRDefault="00FC3474" w:rsidP="007E22C8">
      <w:pPr>
        <w:pStyle w:val="eTRMSub-bulletedText"/>
      </w:pPr>
      <w:r>
        <w:t>If a lab certification is not available, a letter from manufacturer showing ballast compatibility must be submitted as a part of application</w:t>
      </w:r>
    </w:p>
    <w:p w14:paraId="1EE7AC9B" w14:textId="5F8FC85F" w:rsidR="00D95BE9" w:rsidRDefault="00D95BE9" w:rsidP="00524992">
      <w:pPr>
        <w:pStyle w:val="eTRMBulletedText"/>
      </w:pPr>
      <w:r>
        <w:t>D</w:t>
      </w:r>
      <w:r w:rsidRPr="00A72BFF">
        <w:t>ue to testing considerations, only</w:t>
      </w:r>
      <w:r w:rsidR="00CA77BD">
        <w:t xml:space="preserve"> a </w:t>
      </w:r>
      <w:r w:rsidRPr="00A72BFF">
        <w:t xml:space="preserve">product that can operate </w:t>
      </w:r>
      <w:proofErr w:type="gramStart"/>
      <w:r>
        <w:t>off of</w:t>
      </w:r>
      <w:proofErr w:type="gramEnd"/>
      <w:r w:rsidRPr="00A72BFF">
        <w:t xml:space="preserve"> </w:t>
      </w:r>
      <w:r w:rsidR="00CA77BD">
        <w:t xml:space="preserve">an </w:t>
      </w:r>
      <w:r w:rsidRPr="00A72BFF">
        <w:t xml:space="preserve">electronic instant start ballast </w:t>
      </w:r>
      <w:r w:rsidR="00CA77BD">
        <w:t>is</w:t>
      </w:r>
      <w:r w:rsidRPr="00A72BFF">
        <w:t xml:space="preserve"> eligible. </w:t>
      </w:r>
    </w:p>
    <w:p w14:paraId="38D5679D" w14:textId="1B554C9A" w:rsidR="007A3687" w:rsidRPr="00DB4876" w:rsidRDefault="007A3687">
      <w:pPr>
        <w:pStyle w:val="Caption"/>
      </w:pPr>
      <w:r w:rsidRPr="00DB4876">
        <w:t>Program Requirements for LED T8 Lamps</w:t>
      </w:r>
    </w:p>
    <w:tbl>
      <w:tblPr>
        <w:tblStyle w:val="TableGrid1"/>
        <w:tblW w:w="9360"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2643"/>
        <w:gridCol w:w="2239"/>
        <w:gridCol w:w="2239"/>
        <w:gridCol w:w="2239"/>
      </w:tblGrid>
      <w:tr w:rsidR="00777912" w:rsidRPr="00DB4876" w14:paraId="70A6EBCC" w14:textId="77777777" w:rsidTr="00CF7FBF">
        <w:trPr>
          <w:trHeight w:val="287"/>
          <w:tblHeader/>
        </w:trPr>
        <w:tc>
          <w:tcPr>
            <w:tcW w:w="2263" w:type="dxa"/>
            <w:shd w:val="clear" w:color="auto" w:fill="F2F2F2" w:themeFill="background1" w:themeFillShade="F2"/>
            <w:hideMark/>
          </w:tcPr>
          <w:p w14:paraId="6DF4B970" w14:textId="77777777" w:rsidR="007A3687" w:rsidRPr="00DB4876" w:rsidRDefault="007A3687" w:rsidP="00777912">
            <w:pPr>
              <w:spacing w:before="20" w:after="20"/>
              <w:rPr>
                <w:rFonts w:cstheme="minorHAnsi"/>
                <w:b/>
                <w:sz w:val="20"/>
              </w:rPr>
            </w:pPr>
            <w:r w:rsidRPr="00DB4876">
              <w:rPr>
                <w:rFonts w:cstheme="minorHAnsi"/>
                <w:b/>
                <w:sz w:val="20"/>
              </w:rPr>
              <w:t>Performance Metric</w:t>
            </w:r>
          </w:p>
        </w:tc>
        <w:tc>
          <w:tcPr>
            <w:tcW w:w="1916" w:type="dxa"/>
            <w:shd w:val="clear" w:color="auto" w:fill="F2F2F2" w:themeFill="background1" w:themeFillShade="F2"/>
            <w:hideMark/>
          </w:tcPr>
          <w:p w14:paraId="607B01DC" w14:textId="77777777" w:rsidR="007A3687" w:rsidRPr="00DB4876" w:rsidRDefault="007A3687" w:rsidP="00777912">
            <w:pPr>
              <w:spacing w:before="20" w:after="20"/>
              <w:jc w:val="center"/>
              <w:rPr>
                <w:rFonts w:cstheme="minorHAnsi"/>
                <w:b/>
                <w:sz w:val="20"/>
              </w:rPr>
            </w:pPr>
            <w:r w:rsidRPr="00DB4876">
              <w:rPr>
                <w:rFonts w:cstheme="minorHAnsi"/>
                <w:b/>
                <w:sz w:val="20"/>
              </w:rPr>
              <w:t>DLC Requirement</w:t>
            </w:r>
          </w:p>
        </w:tc>
        <w:tc>
          <w:tcPr>
            <w:tcW w:w="1916" w:type="dxa"/>
            <w:shd w:val="clear" w:color="auto" w:fill="F2F2F2" w:themeFill="background1" w:themeFillShade="F2"/>
          </w:tcPr>
          <w:p w14:paraId="6A033EA5" w14:textId="77777777" w:rsidR="007A3687" w:rsidRPr="00DB4876" w:rsidRDefault="007A3687" w:rsidP="00777912">
            <w:pPr>
              <w:spacing w:before="20" w:after="20"/>
              <w:jc w:val="center"/>
              <w:rPr>
                <w:rFonts w:cstheme="minorHAnsi"/>
                <w:b/>
                <w:sz w:val="20"/>
              </w:rPr>
            </w:pPr>
            <w:r w:rsidRPr="00DB4876">
              <w:rPr>
                <w:rFonts w:cstheme="minorHAnsi"/>
                <w:b/>
                <w:sz w:val="20"/>
              </w:rPr>
              <w:t>DLC Tolerance</w:t>
            </w:r>
          </w:p>
        </w:tc>
        <w:tc>
          <w:tcPr>
            <w:tcW w:w="1916" w:type="dxa"/>
            <w:shd w:val="clear" w:color="auto" w:fill="F2F2F2" w:themeFill="background1" w:themeFillShade="F2"/>
            <w:hideMark/>
          </w:tcPr>
          <w:p w14:paraId="19872519" w14:textId="3C8DC843" w:rsidR="007A3687" w:rsidRPr="00DB4876" w:rsidRDefault="00E2602D" w:rsidP="00777912">
            <w:pPr>
              <w:spacing w:before="20" w:after="20"/>
              <w:jc w:val="center"/>
              <w:rPr>
                <w:rFonts w:cstheme="minorHAnsi"/>
                <w:b/>
                <w:sz w:val="20"/>
              </w:rPr>
            </w:pPr>
            <w:r>
              <w:rPr>
                <w:rFonts w:cstheme="minorHAnsi"/>
                <w:b/>
                <w:sz w:val="20"/>
              </w:rPr>
              <w:t>Minimum Program Requirements</w:t>
            </w:r>
          </w:p>
        </w:tc>
      </w:tr>
      <w:tr w:rsidR="00777912" w:rsidRPr="00DB4876" w14:paraId="4D2223D7" w14:textId="77777777" w:rsidTr="00D95BE9">
        <w:tc>
          <w:tcPr>
            <w:tcW w:w="2263" w:type="dxa"/>
          </w:tcPr>
          <w:p w14:paraId="4EB0E865" w14:textId="77777777" w:rsidR="007A3687" w:rsidRPr="00DB4876" w:rsidRDefault="007A3687" w:rsidP="00777912">
            <w:pPr>
              <w:spacing w:before="20" w:after="20"/>
              <w:rPr>
                <w:rFonts w:cstheme="minorHAnsi"/>
                <w:sz w:val="20"/>
              </w:rPr>
            </w:pPr>
            <w:r w:rsidRPr="00DB4876">
              <w:rPr>
                <w:rFonts w:cs="Arial"/>
                <w:sz w:val="20"/>
              </w:rPr>
              <w:t>Luminaire Efficacy</w:t>
            </w:r>
          </w:p>
        </w:tc>
        <w:tc>
          <w:tcPr>
            <w:tcW w:w="1916" w:type="dxa"/>
          </w:tcPr>
          <w:p w14:paraId="73D04B1F" w14:textId="67A06524" w:rsidR="007A3687" w:rsidRPr="00DB4876" w:rsidRDefault="007A3687" w:rsidP="00020F4D">
            <w:pPr>
              <w:spacing w:before="20" w:after="20"/>
              <w:jc w:val="center"/>
              <w:rPr>
                <w:rFonts w:eastAsiaTheme="minorHAnsi" w:cs="Arial"/>
                <w:color w:val="000000"/>
                <w:sz w:val="20"/>
              </w:rPr>
            </w:pPr>
            <w:r w:rsidRPr="00DB4876">
              <w:rPr>
                <w:rFonts w:cs="Arial"/>
                <w:sz w:val="20"/>
              </w:rPr>
              <w:t>≥</w:t>
            </w:r>
            <w:r w:rsidR="003A11AC">
              <w:rPr>
                <w:rFonts w:cs="Arial"/>
                <w:sz w:val="20"/>
              </w:rPr>
              <w:t xml:space="preserve"> </w:t>
            </w:r>
            <w:r w:rsidRPr="00DB4876">
              <w:rPr>
                <w:rFonts w:cs="Arial"/>
                <w:sz w:val="20"/>
              </w:rPr>
              <w:t>1</w:t>
            </w:r>
            <w:r w:rsidR="00CF7FBF">
              <w:rPr>
                <w:rFonts w:cs="Arial"/>
                <w:sz w:val="20"/>
              </w:rPr>
              <w:t>2</w:t>
            </w:r>
            <w:r w:rsidRPr="00DB4876">
              <w:rPr>
                <w:rFonts w:cs="Arial"/>
                <w:sz w:val="20"/>
              </w:rPr>
              <w:t>0 LPW</w:t>
            </w:r>
          </w:p>
        </w:tc>
        <w:tc>
          <w:tcPr>
            <w:tcW w:w="1916" w:type="dxa"/>
          </w:tcPr>
          <w:p w14:paraId="18DEDBB3" w14:textId="77777777" w:rsidR="007A3687" w:rsidRPr="00DB4876" w:rsidRDefault="007A3687" w:rsidP="00020F4D">
            <w:pPr>
              <w:spacing w:before="20" w:after="20"/>
              <w:jc w:val="center"/>
              <w:rPr>
                <w:rFonts w:cs="Arial"/>
                <w:sz w:val="20"/>
              </w:rPr>
            </w:pPr>
            <w:r w:rsidRPr="00DB4876">
              <w:rPr>
                <w:rFonts w:cs="Arial"/>
                <w:sz w:val="20"/>
              </w:rPr>
              <w:t>-3%</w:t>
            </w:r>
          </w:p>
        </w:tc>
        <w:tc>
          <w:tcPr>
            <w:tcW w:w="1916" w:type="dxa"/>
          </w:tcPr>
          <w:p w14:paraId="389F2A2F" w14:textId="4D03E0A8" w:rsidR="007A3687" w:rsidRPr="00DB4876" w:rsidRDefault="007A3687" w:rsidP="00020F4D">
            <w:pPr>
              <w:spacing w:before="20" w:after="20"/>
              <w:jc w:val="center"/>
              <w:rPr>
                <w:rFonts w:cstheme="minorHAnsi"/>
                <w:color w:val="000000"/>
                <w:sz w:val="20"/>
              </w:rPr>
            </w:pPr>
            <w:r w:rsidRPr="00DB4876">
              <w:rPr>
                <w:rFonts w:cs="Arial"/>
                <w:sz w:val="20"/>
              </w:rPr>
              <w:t>≥</w:t>
            </w:r>
            <w:r w:rsidR="00545083">
              <w:rPr>
                <w:rFonts w:cs="Arial"/>
                <w:sz w:val="20"/>
              </w:rPr>
              <w:t xml:space="preserve"> </w:t>
            </w:r>
            <w:r w:rsidR="00CF7FBF">
              <w:rPr>
                <w:rFonts w:cs="Arial"/>
                <w:sz w:val="20"/>
              </w:rPr>
              <w:t>145</w:t>
            </w:r>
            <w:r w:rsidRPr="00DB4876">
              <w:rPr>
                <w:rFonts w:cs="Arial"/>
                <w:sz w:val="20"/>
              </w:rPr>
              <w:t xml:space="preserve"> LPW</w:t>
            </w:r>
          </w:p>
        </w:tc>
      </w:tr>
      <w:tr w:rsidR="00777912" w:rsidRPr="00DB4876" w14:paraId="1F391C7A" w14:textId="77777777" w:rsidTr="00D95BE9">
        <w:tc>
          <w:tcPr>
            <w:tcW w:w="2263" w:type="dxa"/>
          </w:tcPr>
          <w:p w14:paraId="31C5D5FC" w14:textId="77777777" w:rsidR="007A3687" w:rsidRPr="00DB4876" w:rsidRDefault="007A3687" w:rsidP="00777912">
            <w:pPr>
              <w:spacing w:before="20" w:after="20"/>
              <w:rPr>
                <w:rFonts w:cstheme="minorHAnsi"/>
                <w:sz w:val="20"/>
              </w:rPr>
            </w:pPr>
            <w:r w:rsidRPr="00DB4876">
              <w:rPr>
                <w:rFonts w:cs="Arial"/>
                <w:sz w:val="20"/>
              </w:rPr>
              <w:t>CRI</w:t>
            </w:r>
          </w:p>
        </w:tc>
        <w:tc>
          <w:tcPr>
            <w:tcW w:w="1916" w:type="dxa"/>
          </w:tcPr>
          <w:p w14:paraId="0DAEE716" w14:textId="0F551336" w:rsidR="007A3687" w:rsidRPr="00DB4876" w:rsidRDefault="007A3687" w:rsidP="00020F4D">
            <w:pPr>
              <w:spacing w:before="20" w:after="20"/>
              <w:jc w:val="center"/>
              <w:rPr>
                <w:rFonts w:eastAsiaTheme="minorHAnsi" w:cs="Arial"/>
                <w:color w:val="000000"/>
                <w:sz w:val="20"/>
              </w:rPr>
            </w:pPr>
            <w:r w:rsidRPr="00DB4876">
              <w:rPr>
                <w:rFonts w:cs="Arial"/>
                <w:sz w:val="20"/>
              </w:rPr>
              <w:t>≥</w:t>
            </w:r>
            <w:r w:rsidR="00CF7FBF">
              <w:rPr>
                <w:rFonts w:cs="Arial"/>
                <w:sz w:val="20"/>
              </w:rPr>
              <w:t xml:space="preserve"> </w:t>
            </w:r>
            <w:r w:rsidRPr="00DB4876">
              <w:rPr>
                <w:rFonts w:cs="Arial"/>
                <w:sz w:val="20"/>
              </w:rPr>
              <w:t>80</w:t>
            </w:r>
          </w:p>
        </w:tc>
        <w:tc>
          <w:tcPr>
            <w:tcW w:w="1916" w:type="dxa"/>
          </w:tcPr>
          <w:p w14:paraId="09E3F5DC" w14:textId="77777777" w:rsidR="007A3687" w:rsidRPr="00DB4876" w:rsidRDefault="007A3687" w:rsidP="00020F4D">
            <w:pPr>
              <w:spacing w:before="20" w:after="20"/>
              <w:jc w:val="center"/>
              <w:rPr>
                <w:rFonts w:cs="Arial"/>
                <w:sz w:val="20"/>
              </w:rPr>
            </w:pPr>
            <w:r w:rsidRPr="00DB4876">
              <w:rPr>
                <w:rFonts w:cs="Arial"/>
                <w:sz w:val="20"/>
              </w:rPr>
              <w:t>-2 points</w:t>
            </w:r>
          </w:p>
        </w:tc>
        <w:tc>
          <w:tcPr>
            <w:tcW w:w="1916" w:type="dxa"/>
          </w:tcPr>
          <w:p w14:paraId="095BBB9D" w14:textId="28CE5E2E" w:rsidR="007A3687" w:rsidRPr="00DB4876" w:rsidRDefault="007A3687" w:rsidP="00020F4D">
            <w:pPr>
              <w:spacing w:before="20" w:after="20"/>
              <w:jc w:val="center"/>
              <w:rPr>
                <w:rFonts w:cstheme="minorHAnsi"/>
                <w:color w:val="000000"/>
                <w:sz w:val="20"/>
              </w:rPr>
            </w:pPr>
            <w:r w:rsidRPr="00DB4876">
              <w:rPr>
                <w:rFonts w:cs="Arial"/>
                <w:sz w:val="20"/>
              </w:rPr>
              <w:t>≥</w:t>
            </w:r>
            <w:r w:rsidR="00CF7FBF">
              <w:rPr>
                <w:rFonts w:cs="Arial"/>
                <w:sz w:val="20"/>
              </w:rPr>
              <w:t xml:space="preserve"> </w:t>
            </w:r>
            <w:r w:rsidRPr="00DB4876">
              <w:rPr>
                <w:rFonts w:cs="Arial"/>
                <w:sz w:val="20"/>
              </w:rPr>
              <w:t>80</w:t>
            </w:r>
          </w:p>
        </w:tc>
      </w:tr>
      <w:tr w:rsidR="00777912" w:rsidRPr="00DB4876" w14:paraId="72928773" w14:textId="77777777" w:rsidTr="00D95BE9">
        <w:tc>
          <w:tcPr>
            <w:tcW w:w="2263" w:type="dxa"/>
          </w:tcPr>
          <w:p w14:paraId="6D062EC3" w14:textId="77777777" w:rsidR="007A3687" w:rsidRPr="00DB4876" w:rsidRDefault="007A3687" w:rsidP="00777912">
            <w:pPr>
              <w:spacing w:before="20" w:after="20"/>
              <w:rPr>
                <w:rFonts w:cstheme="minorHAnsi"/>
                <w:sz w:val="20"/>
              </w:rPr>
            </w:pPr>
            <w:r w:rsidRPr="00DB4876">
              <w:rPr>
                <w:rFonts w:cs="Arial"/>
                <w:sz w:val="20"/>
              </w:rPr>
              <w:t>CCT</w:t>
            </w:r>
          </w:p>
        </w:tc>
        <w:tc>
          <w:tcPr>
            <w:tcW w:w="1916" w:type="dxa"/>
          </w:tcPr>
          <w:p w14:paraId="213CE2C2" w14:textId="044B6757" w:rsidR="007A3687" w:rsidRPr="00DB4876" w:rsidRDefault="00CF7FBF" w:rsidP="00020F4D">
            <w:pPr>
              <w:spacing w:before="20" w:after="20"/>
              <w:jc w:val="center"/>
              <w:rPr>
                <w:rFonts w:eastAsiaTheme="minorHAnsi" w:cs="Arial"/>
                <w:color w:val="000000"/>
                <w:sz w:val="20"/>
              </w:rPr>
            </w:pPr>
            <w:r>
              <w:rPr>
                <w:rFonts w:cs="Arial"/>
                <w:sz w:val="20"/>
              </w:rPr>
              <w:t>2,200 K –</w:t>
            </w:r>
            <w:r w:rsidRPr="00DB4876">
              <w:rPr>
                <w:rFonts w:cs="Arial"/>
                <w:sz w:val="20"/>
              </w:rPr>
              <w:t xml:space="preserve"> </w:t>
            </w:r>
            <w:r>
              <w:rPr>
                <w:rFonts w:cs="Arial"/>
                <w:sz w:val="20"/>
              </w:rPr>
              <w:t>6,5</w:t>
            </w:r>
            <w:r w:rsidRPr="00DB4876">
              <w:rPr>
                <w:rFonts w:cs="Arial"/>
                <w:sz w:val="20"/>
              </w:rPr>
              <w:t>00</w:t>
            </w:r>
            <w:r>
              <w:rPr>
                <w:rFonts w:cs="Arial"/>
                <w:sz w:val="20"/>
              </w:rPr>
              <w:t xml:space="preserve"> </w:t>
            </w:r>
            <w:r w:rsidRPr="00DB4876">
              <w:rPr>
                <w:rFonts w:cs="Arial"/>
                <w:sz w:val="20"/>
              </w:rPr>
              <w:t>K</w:t>
            </w:r>
          </w:p>
        </w:tc>
        <w:tc>
          <w:tcPr>
            <w:tcW w:w="1916" w:type="dxa"/>
          </w:tcPr>
          <w:p w14:paraId="37D3DFF4" w14:textId="77777777" w:rsidR="007A3687" w:rsidRPr="00DB4876" w:rsidRDefault="00545083" w:rsidP="00020F4D">
            <w:pPr>
              <w:spacing w:before="20" w:after="20"/>
              <w:jc w:val="center"/>
              <w:rPr>
                <w:rFonts w:cs="Arial"/>
                <w:sz w:val="20"/>
              </w:rPr>
            </w:pPr>
            <w:r>
              <w:rPr>
                <w:rFonts w:cs="Arial"/>
                <w:sz w:val="20"/>
              </w:rPr>
              <w:t>n/a</w:t>
            </w:r>
          </w:p>
        </w:tc>
        <w:tc>
          <w:tcPr>
            <w:tcW w:w="1916" w:type="dxa"/>
          </w:tcPr>
          <w:p w14:paraId="56436550" w14:textId="2EB86CF4" w:rsidR="007A3687" w:rsidRPr="00DB4876" w:rsidRDefault="00CF7FBF" w:rsidP="00020F4D">
            <w:pPr>
              <w:spacing w:before="20" w:after="20"/>
              <w:jc w:val="center"/>
              <w:rPr>
                <w:rFonts w:cstheme="minorHAnsi"/>
                <w:color w:val="000000"/>
                <w:sz w:val="20"/>
              </w:rPr>
            </w:pPr>
            <w:r>
              <w:rPr>
                <w:rFonts w:cs="Arial"/>
                <w:sz w:val="20"/>
              </w:rPr>
              <w:t>2,200 K –</w:t>
            </w:r>
            <w:r w:rsidRPr="00DB4876">
              <w:rPr>
                <w:rFonts w:cs="Arial"/>
                <w:sz w:val="20"/>
              </w:rPr>
              <w:t xml:space="preserve"> </w:t>
            </w:r>
            <w:r>
              <w:rPr>
                <w:rFonts w:cs="Arial"/>
                <w:sz w:val="20"/>
              </w:rPr>
              <w:t>6,5</w:t>
            </w:r>
            <w:r w:rsidRPr="00DB4876">
              <w:rPr>
                <w:rFonts w:cs="Arial"/>
                <w:sz w:val="20"/>
              </w:rPr>
              <w:t>00</w:t>
            </w:r>
            <w:r>
              <w:rPr>
                <w:rFonts w:cs="Arial"/>
                <w:sz w:val="20"/>
              </w:rPr>
              <w:t xml:space="preserve"> </w:t>
            </w:r>
            <w:r w:rsidRPr="00DB4876">
              <w:rPr>
                <w:rFonts w:cs="Arial"/>
                <w:sz w:val="20"/>
              </w:rPr>
              <w:t>K</w:t>
            </w:r>
          </w:p>
        </w:tc>
      </w:tr>
      <w:tr w:rsidR="00777912" w:rsidRPr="00DB4876" w14:paraId="4CB44250" w14:textId="77777777" w:rsidTr="00D95BE9">
        <w:tc>
          <w:tcPr>
            <w:tcW w:w="2263" w:type="dxa"/>
          </w:tcPr>
          <w:p w14:paraId="7A633B5D" w14:textId="77777777" w:rsidR="007A3687" w:rsidRPr="00DB4876" w:rsidRDefault="007A3687" w:rsidP="00777912">
            <w:pPr>
              <w:spacing w:before="20" w:after="20"/>
              <w:rPr>
                <w:rFonts w:cstheme="minorHAnsi"/>
                <w:sz w:val="20"/>
              </w:rPr>
            </w:pPr>
            <w:r w:rsidRPr="00DB4876">
              <w:rPr>
                <w:rFonts w:cs="Arial"/>
                <w:sz w:val="20"/>
              </w:rPr>
              <w:t>Power Factor</w:t>
            </w:r>
          </w:p>
        </w:tc>
        <w:tc>
          <w:tcPr>
            <w:tcW w:w="1916" w:type="dxa"/>
          </w:tcPr>
          <w:p w14:paraId="4BE950E7" w14:textId="77777777" w:rsidR="007A3687" w:rsidRPr="00DB4876" w:rsidRDefault="007A3687" w:rsidP="00020F4D">
            <w:pPr>
              <w:spacing w:before="20" w:after="20"/>
              <w:jc w:val="center"/>
              <w:rPr>
                <w:rFonts w:cs="Arial"/>
                <w:color w:val="000000"/>
                <w:sz w:val="20"/>
              </w:rPr>
            </w:pPr>
            <w:r w:rsidRPr="00DB4876">
              <w:rPr>
                <w:rFonts w:cs="Arial"/>
                <w:sz w:val="20"/>
              </w:rPr>
              <w:t>≥</w:t>
            </w:r>
            <w:r w:rsidR="003A11AC">
              <w:rPr>
                <w:rFonts w:cs="Arial"/>
                <w:sz w:val="20"/>
              </w:rPr>
              <w:t xml:space="preserve"> </w:t>
            </w:r>
            <w:r w:rsidRPr="00DB4876">
              <w:rPr>
                <w:rFonts w:cs="Arial"/>
                <w:sz w:val="20"/>
              </w:rPr>
              <w:t>0.9</w:t>
            </w:r>
          </w:p>
        </w:tc>
        <w:tc>
          <w:tcPr>
            <w:tcW w:w="1916" w:type="dxa"/>
          </w:tcPr>
          <w:p w14:paraId="50D179F8" w14:textId="77777777" w:rsidR="007A3687" w:rsidRPr="00DB4876" w:rsidRDefault="007A3687" w:rsidP="00020F4D">
            <w:pPr>
              <w:spacing w:before="20" w:after="20"/>
              <w:jc w:val="center"/>
              <w:rPr>
                <w:rFonts w:cs="Arial"/>
                <w:sz w:val="20"/>
              </w:rPr>
            </w:pPr>
            <w:r w:rsidRPr="00DB4876">
              <w:rPr>
                <w:rStyle w:val="CommentReference"/>
                <w:rFonts w:cs="Arial"/>
                <w:sz w:val="20"/>
                <w:szCs w:val="20"/>
              </w:rPr>
              <w:t>-3%</w:t>
            </w:r>
          </w:p>
        </w:tc>
        <w:tc>
          <w:tcPr>
            <w:tcW w:w="1916" w:type="dxa"/>
          </w:tcPr>
          <w:p w14:paraId="0F4106F3" w14:textId="77777777" w:rsidR="007A3687" w:rsidRPr="00DB4876" w:rsidRDefault="007A3687" w:rsidP="00020F4D">
            <w:pPr>
              <w:spacing w:before="20" w:after="20"/>
              <w:jc w:val="center"/>
              <w:rPr>
                <w:rFonts w:cs="Arial"/>
                <w:sz w:val="20"/>
              </w:rPr>
            </w:pPr>
            <w:r w:rsidRPr="00DB4876">
              <w:rPr>
                <w:rFonts w:cs="Arial"/>
                <w:sz w:val="20"/>
              </w:rPr>
              <w:t>≥</w:t>
            </w:r>
            <w:r w:rsidR="00545083">
              <w:rPr>
                <w:rFonts w:cs="Arial"/>
                <w:sz w:val="20"/>
              </w:rPr>
              <w:t xml:space="preserve"> </w:t>
            </w:r>
            <w:r w:rsidRPr="00DB4876">
              <w:rPr>
                <w:rFonts w:cs="Arial"/>
                <w:sz w:val="20"/>
              </w:rPr>
              <w:t>0.9</w:t>
            </w:r>
          </w:p>
        </w:tc>
      </w:tr>
      <w:tr w:rsidR="00777912" w:rsidRPr="00DB4876" w14:paraId="23C0E479" w14:textId="77777777" w:rsidTr="00D95BE9">
        <w:tc>
          <w:tcPr>
            <w:tcW w:w="2263" w:type="dxa"/>
          </w:tcPr>
          <w:p w14:paraId="3A60CD15" w14:textId="77777777" w:rsidR="007A3687" w:rsidRPr="00DB4876" w:rsidRDefault="007A3687" w:rsidP="00777912">
            <w:pPr>
              <w:spacing w:before="20" w:after="20"/>
              <w:rPr>
                <w:rFonts w:cstheme="minorHAnsi"/>
                <w:sz w:val="20"/>
              </w:rPr>
            </w:pPr>
            <w:r w:rsidRPr="00DB4876">
              <w:rPr>
                <w:rFonts w:cs="Arial"/>
                <w:sz w:val="20"/>
              </w:rPr>
              <w:t>Total Harmonic Distortion</w:t>
            </w:r>
          </w:p>
        </w:tc>
        <w:tc>
          <w:tcPr>
            <w:tcW w:w="1916" w:type="dxa"/>
          </w:tcPr>
          <w:p w14:paraId="2EA86630" w14:textId="77777777" w:rsidR="007A3687" w:rsidRPr="00DB4876" w:rsidRDefault="007A3687" w:rsidP="00020F4D">
            <w:pPr>
              <w:spacing w:before="20" w:after="20"/>
              <w:jc w:val="center"/>
              <w:rPr>
                <w:rFonts w:cs="Arial"/>
                <w:color w:val="000000"/>
                <w:sz w:val="20"/>
              </w:rPr>
            </w:pPr>
            <w:r w:rsidRPr="00DB4876">
              <w:rPr>
                <w:rFonts w:cs="Arial"/>
                <w:sz w:val="20"/>
              </w:rPr>
              <w:t>≤</w:t>
            </w:r>
            <w:r w:rsidR="003A11AC">
              <w:rPr>
                <w:rFonts w:cs="Arial"/>
                <w:sz w:val="20"/>
              </w:rPr>
              <w:t xml:space="preserve"> </w:t>
            </w:r>
            <w:r w:rsidRPr="00DB4876">
              <w:rPr>
                <w:rFonts w:cs="Arial"/>
                <w:sz w:val="20"/>
              </w:rPr>
              <w:t>20%</w:t>
            </w:r>
          </w:p>
        </w:tc>
        <w:tc>
          <w:tcPr>
            <w:tcW w:w="1916" w:type="dxa"/>
          </w:tcPr>
          <w:p w14:paraId="0D6504D3" w14:textId="77777777" w:rsidR="007A3687" w:rsidRPr="00DB4876" w:rsidRDefault="007A3687" w:rsidP="00020F4D">
            <w:pPr>
              <w:spacing w:before="20" w:after="20"/>
              <w:jc w:val="center"/>
              <w:rPr>
                <w:rFonts w:cs="Arial"/>
                <w:sz w:val="20"/>
              </w:rPr>
            </w:pPr>
            <w:r w:rsidRPr="00DB4876">
              <w:rPr>
                <w:rStyle w:val="CommentReference"/>
                <w:rFonts w:cs="Arial"/>
                <w:sz w:val="20"/>
                <w:szCs w:val="20"/>
              </w:rPr>
              <w:t>+5%</w:t>
            </w:r>
          </w:p>
        </w:tc>
        <w:tc>
          <w:tcPr>
            <w:tcW w:w="1916" w:type="dxa"/>
          </w:tcPr>
          <w:p w14:paraId="7776CDC5" w14:textId="77777777" w:rsidR="007A3687" w:rsidRPr="00DB4876" w:rsidRDefault="007A3687" w:rsidP="00020F4D">
            <w:pPr>
              <w:spacing w:before="20" w:after="20"/>
              <w:jc w:val="center"/>
              <w:rPr>
                <w:rFonts w:cs="Arial"/>
                <w:sz w:val="20"/>
              </w:rPr>
            </w:pPr>
            <w:r w:rsidRPr="00DB4876">
              <w:rPr>
                <w:rFonts w:cs="Arial"/>
                <w:sz w:val="20"/>
              </w:rPr>
              <w:t>≤</w:t>
            </w:r>
            <w:r w:rsidR="00545083">
              <w:rPr>
                <w:rFonts w:cs="Arial"/>
                <w:sz w:val="20"/>
              </w:rPr>
              <w:t xml:space="preserve"> </w:t>
            </w:r>
            <w:r w:rsidRPr="00DB4876">
              <w:rPr>
                <w:rFonts w:cs="Arial"/>
                <w:sz w:val="20"/>
              </w:rPr>
              <w:t>20%</w:t>
            </w:r>
          </w:p>
        </w:tc>
      </w:tr>
      <w:tr w:rsidR="00777912" w:rsidRPr="00DB4876" w14:paraId="1CD0C13A" w14:textId="77777777" w:rsidTr="00D95BE9">
        <w:tc>
          <w:tcPr>
            <w:tcW w:w="2263" w:type="dxa"/>
          </w:tcPr>
          <w:p w14:paraId="3A09AAA2" w14:textId="77777777" w:rsidR="007A3687" w:rsidRPr="00DB4876" w:rsidRDefault="007A3687" w:rsidP="00777912">
            <w:pPr>
              <w:spacing w:before="20" w:after="20"/>
              <w:rPr>
                <w:rFonts w:cstheme="minorHAnsi"/>
                <w:sz w:val="20"/>
              </w:rPr>
            </w:pPr>
            <w:r w:rsidRPr="00DB4876">
              <w:rPr>
                <w:rFonts w:cs="Arial"/>
                <w:sz w:val="20"/>
              </w:rPr>
              <w:t>Lumen Maintenance</w:t>
            </w:r>
          </w:p>
        </w:tc>
        <w:tc>
          <w:tcPr>
            <w:tcW w:w="1916" w:type="dxa"/>
          </w:tcPr>
          <w:p w14:paraId="1FE3D6EE" w14:textId="77777777" w:rsidR="007A3687" w:rsidRPr="00DB4876" w:rsidRDefault="007A3687" w:rsidP="00020F4D">
            <w:pPr>
              <w:spacing w:before="20" w:after="20"/>
              <w:jc w:val="center"/>
              <w:rPr>
                <w:rFonts w:cs="Arial"/>
                <w:color w:val="000000"/>
                <w:sz w:val="20"/>
              </w:rPr>
            </w:pPr>
            <w:r w:rsidRPr="00DB4876">
              <w:rPr>
                <w:rFonts w:cs="Arial"/>
                <w:sz w:val="20"/>
              </w:rPr>
              <w:t>L70</w:t>
            </w:r>
            <w:r w:rsidR="003A11AC">
              <w:rPr>
                <w:rFonts w:cs="Arial"/>
                <w:sz w:val="20"/>
              </w:rPr>
              <w:t xml:space="preserve"> </w:t>
            </w:r>
            <w:r w:rsidRPr="00DB4876">
              <w:rPr>
                <w:rFonts w:cs="Arial"/>
                <w:sz w:val="20"/>
              </w:rPr>
              <w:t>≥</w:t>
            </w:r>
            <w:r w:rsidR="003A11AC">
              <w:rPr>
                <w:rFonts w:cs="Arial"/>
                <w:sz w:val="20"/>
              </w:rPr>
              <w:t xml:space="preserve"> </w:t>
            </w:r>
            <w:r w:rsidRPr="00DB4876">
              <w:rPr>
                <w:rFonts w:cs="Arial"/>
                <w:sz w:val="20"/>
              </w:rPr>
              <w:t>50,000</w:t>
            </w:r>
          </w:p>
        </w:tc>
        <w:tc>
          <w:tcPr>
            <w:tcW w:w="1916" w:type="dxa"/>
          </w:tcPr>
          <w:p w14:paraId="02B92648" w14:textId="77777777" w:rsidR="007A3687" w:rsidRPr="00DB4876" w:rsidRDefault="00020F4D" w:rsidP="00020F4D">
            <w:pPr>
              <w:spacing w:before="20" w:after="20"/>
              <w:jc w:val="center"/>
              <w:rPr>
                <w:rFonts w:cs="Arial"/>
                <w:sz w:val="20"/>
              </w:rPr>
            </w:pPr>
            <w:r>
              <w:rPr>
                <w:rStyle w:val="CommentReference"/>
                <w:rFonts w:cs="Arial"/>
                <w:sz w:val="20"/>
                <w:szCs w:val="20"/>
              </w:rPr>
              <w:t>n/a</w:t>
            </w:r>
          </w:p>
        </w:tc>
        <w:tc>
          <w:tcPr>
            <w:tcW w:w="1916" w:type="dxa"/>
          </w:tcPr>
          <w:p w14:paraId="13FE4604" w14:textId="77777777" w:rsidR="007A3687" w:rsidRPr="00DB4876" w:rsidRDefault="007A3687" w:rsidP="00020F4D">
            <w:pPr>
              <w:spacing w:before="20" w:after="20"/>
              <w:jc w:val="center"/>
              <w:rPr>
                <w:rFonts w:cs="Arial"/>
                <w:sz w:val="20"/>
              </w:rPr>
            </w:pPr>
            <w:r w:rsidRPr="00DB4876">
              <w:rPr>
                <w:rFonts w:cs="Arial"/>
                <w:sz w:val="20"/>
              </w:rPr>
              <w:t>L70</w:t>
            </w:r>
            <w:r w:rsidR="00545083">
              <w:rPr>
                <w:rFonts w:cs="Arial"/>
                <w:sz w:val="20"/>
              </w:rPr>
              <w:t xml:space="preserve"> </w:t>
            </w:r>
            <w:r w:rsidRPr="00DB4876">
              <w:rPr>
                <w:rFonts w:cs="Arial"/>
                <w:sz w:val="20"/>
              </w:rPr>
              <w:t>≥</w:t>
            </w:r>
            <w:r w:rsidR="00545083">
              <w:rPr>
                <w:rFonts w:cs="Arial"/>
                <w:sz w:val="20"/>
              </w:rPr>
              <w:t xml:space="preserve"> </w:t>
            </w:r>
            <w:r w:rsidRPr="00DB4876">
              <w:rPr>
                <w:rFonts w:cs="Arial"/>
                <w:sz w:val="20"/>
              </w:rPr>
              <w:t>50,000</w:t>
            </w:r>
          </w:p>
        </w:tc>
      </w:tr>
      <w:tr w:rsidR="00777912" w:rsidRPr="00DB4876" w14:paraId="041405C4" w14:textId="77777777" w:rsidTr="00D95BE9">
        <w:tc>
          <w:tcPr>
            <w:tcW w:w="2263" w:type="dxa"/>
          </w:tcPr>
          <w:p w14:paraId="0F919A47" w14:textId="77777777" w:rsidR="007A3687" w:rsidRPr="00DB4876" w:rsidRDefault="007A3687" w:rsidP="00777912">
            <w:pPr>
              <w:spacing w:before="20" w:after="20"/>
              <w:rPr>
                <w:rFonts w:cstheme="minorHAnsi"/>
                <w:sz w:val="20"/>
              </w:rPr>
            </w:pPr>
            <w:r w:rsidRPr="00DB4876">
              <w:rPr>
                <w:rFonts w:cs="Arial"/>
                <w:sz w:val="20"/>
              </w:rPr>
              <w:t>Minimum Warranty</w:t>
            </w:r>
          </w:p>
        </w:tc>
        <w:tc>
          <w:tcPr>
            <w:tcW w:w="1916" w:type="dxa"/>
          </w:tcPr>
          <w:p w14:paraId="5FD83EDA" w14:textId="77777777" w:rsidR="007A3687" w:rsidRPr="00DB4876" w:rsidRDefault="007A3687" w:rsidP="00020F4D">
            <w:pPr>
              <w:spacing w:before="20" w:after="20"/>
              <w:jc w:val="center"/>
              <w:rPr>
                <w:rFonts w:cs="Arial"/>
                <w:color w:val="000000"/>
                <w:sz w:val="20"/>
              </w:rPr>
            </w:pPr>
            <w:r w:rsidRPr="00DB4876">
              <w:rPr>
                <w:rFonts w:cs="Arial"/>
                <w:sz w:val="20"/>
              </w:rPr>
              <w:t>5 years</w:t>
            </w:r>
          </w:p>
        </w:tc>
        <w:tc>
          <w:tcPr>
            <w:tcW w:w="1916" w:type="dxa"/>
          </w:tcPr>
          <w:p w14:paraId="05F01FB8" w14:textId="77777777" w:rsidR="007A3687" w:rsidRPr="00DB4876" w:rsidRDefault="00020F4D" w:rsidP="00020F4D">
            <w:pPr>
              <w:spacing w:before="20" w:after="20"/>
              <w:jc w:val="center"/>
              <w:rPr>
                <w:rFonts w:cs="Arial"/>
                <w:sz w:val="20"/>
              </w:rPr>
            </w:pPr>
            <w:r>
              <w:rPr>
                <w:rStyle w:val="CommentReference"/>
                <w:rFonts w:cs="Arial"/>
                <w:sz w:val="20"/>
                <w:szCs w:val="20"/>
              </w:rPr>
              <w:t>n/a</w:t>
            </w:r>
          </w:p>
        </w:tc>
        <w:tc>
          <w:tcPr>
            <w:tcW w:w="1916" w:type="dxa"/>
          </w:tcPr>
          <w:p w14:paraId="67FD863F" w14:textId="77777777" w:rsidR="007A3687" w:rsidRPr="00DB4876" w:rsidRDefault="007A3687" w:rsidP="00020F4D">
            <w:pPr>
              <w:spacing w:before="20" w:after="20"/>
              <w:jc w:val="center"/>
              <w:rPr>
                <w:rFonts w:cs="Arial"/>
                <w:sz w:val="20"/>
              </w:rPr>
            </w:pPr>
            <w:r w:rsidRPr="00DB4876">
              <w:rPr>
                <w:rFonts w:cs="Arial"/>
                <w:sz w:val="20"/>
              </w:rPr>
              <w:t>5 years</w:t>
            </w:r>
          </w:p>
        </w:tc>
      </w:tr>
    </w:tbl>
    <w:p w14:paraId="0F2DF2BE" w14:textId="77777777" w:rsidR="002942B0" w:rsidRPr="007A3687" w:rsidRDefault="002942B0" w:rsidP="002942B0">
      <w:pPr>
        <w:rPr>
          <w:sz w:val="20"/>
          <w:szCs w:val="20"/>
        </w:rPr>
      </w:pPr>
    </w:p>
    <w:p w14:paraId="70C621E3" w14:textId="77777777" w:rsidR="007B6A74" w:rsidRPr="00401C43" w:rsidRDefault="007B6A74" w:rsidP="00401C43">
      <w:pPr>
        <w:pStyle w:val="eTRMHeading5"/>
      </w:pPr>
      <w:r w:rsidRPr="00401C43">
        <w:t>Eligible Building Types</w:t>
      </w:r>
      <w:r w:rsidR="00E57AAD">
        <w:t xml:space="preserve"> and Vintages</w:t>
      </w:r>
    </w:p>
    <w:p w14:paraId="7C0EEA83" w14:textId="0FA313DC" w:rsidR="0050169A" w:rsidRDefault="004E76BB" w:rsidP="0050169A">
      <w:pPr>
        <w:pStyle w:val="Reminders"/>
        <w:rPr>
          <w:rFonts w:ascii="Calibri Light" w:hAnsi="Calibri Light" w:cstheme="minorHAnsi"/>
          <w:i w:val="0"/>
          <w:color w:val="auto"/>
          <w:szCs w:val="22"/>
        </w:rPr>
      </w:pPr>
      <w:r>
        <w:rPr>
          <w:rFonts w:ascii="Calibri Light" w:hAnsi="Calibri Light" w:cstheme="minorHAnsi"/>
          <w:i w:val="0"/>
          <w:color w:val="auto"/>
          <w:szCs w:val="22"/>
        </w:rPr>
        <w:t>This measure is e</w:t>
      </w:r>
      <w:r w:rsidR="0050169A" w:rsidRPr="0050169A">
        <w:rPr>
          <w:rFonts w:ascii="Calibri Light" w:hAnsi="Calibri Light" w:cstheme="minorHAnsi"/>
          <w:i w:val="0"/>
          <w:color w:val="auto"/>
          <w:szCs w:val="22"/>
        </w:rPr>
        <w:t xml:space="preserve">ligible in all </w:t>
      </w:r>
      <w:r>
        <w:rPr>
          <w:rFonts w:ascii="Calibri Light" w:hAnsi="Calibri Light" w:cstheme="minorHAnsi"/>
          <w:i w:val="0"/>
          <w:color w:val="auto"/>
          <w:szCs w:val="22"/>
        </w:rPr>
        <w:t>c</w:t>
      </w:r>
      <w:r w:rsidR="0050169A" w:rsidRPr="0050169A">
        <w:rPr>
          <w:rFonts w:ascii="Calibri Light" w:hAnsi="Calibri Light" w:cstheme="minorHAnsi"/>
          <w:i w:val="0"/>
          <w:color w:val="auto"/>
          <w:szCs w:val="22"/>
        </w:rPr>
        <w:t xml:space="preserve">ommercial and </w:t>
      </w:r>
      <w:r>
        <w:rPr>
          <w:rFonts w:ascii="Calibri Light" w:hAnsi="Calibri Light" w:cstheme="minorHAnsi"/>
          <w:i w:val="0"/>
          <w:color w:val="auto"/>
          <w:szCs w:val="22"/>
        </w:rPr>
        <w:t>m</w:t>
      </w:r>
      <w:r w:rsidR="0050169A" w:rsidRPr="0050169A">
        <w:rPr>
          <w:rFonts w:ascii="Calibri Light" w:hAnsi="Calibri Light" w:cstheme="minorHAnsi"/>
          <w:i w:val="0"/>
          <w:color w:val="auto"/>
          <w:szCs w:val="22"/>
        </w:rPr>
        <w:t xml:space="preserve">ultifamily </w:t>
      </w:r>
      <w:r w:rsidR="00293115" w:rsidRPr="0050169A">
        <w:rPr>
          <w:rFonts w:ascii="Calibri Light" w:hAnsi="Calibri Light" w:cstheme="minorHAnsi"/>
          <w:i w:val="0"/>
          <w:color w:val="auto"/>
          <w:szCs w:val="22"/>
        </w:rPr>
        <w:t>(</w:t>
      </w:r>
      <w:r w:rsidR="00293115">
        <w:rPr>
          <w:rFonts w:ascii="Calibri Light" w:hAnsi="Calibri Light" w:cstheme="minorHAnsi"/>
          <w:i w:val="0"/>
          <w:color w:val="auto"/>
          <w:szCs w:val="22"/>
        </w:rPr>
        <w:t>common and dwelling areas</w:t>
      </w:r>
      <w:r w:rsidR="00293115" w:rsidRPr="0050169A">
        <w:rPr>
          <w:rFonts w:ascii="Calibri Light" w:hAnsi="Calibri Light" w:cstheme="minorHAnsi"/>
          <w:i w:val="0"/>
          <w:color w:val="auto"/>
          <w:szCs w:val="22"/>
        </w:rPr>
        <w:t>)</w:t>
      </w:r>
      <w:r w:rsidR="00293115">
        <w:rPr>
          <w:rFonts w:ascii="Calibri Light" w:hAnsi="Calibri Light" w:cstheme="minorHAnsi"/>
          <w:i w:val="0"/>
          <w:color w:val="auto"/>
          <w:szCs w:val="22"/>
        </w:rPr>
        <w:t xml:space="preserve"> </w:t>
      </w:r>
      <w:r w:rsidR="0050169A" w:rsidRPr="0050169A">
        <w:rPr>
          <w:rFonts w:ascii="Calibri Light" w:hAnsi="Calibri Light" w:cstheme="minorHAnsi"/>
          <w:i w:val="0"/>
          <w:color w:val="auto"/>
          <w:szCs w:val="22"/>
        </w:rPr>
        <w:t xml:space="preserve">and </w:t>
      </w:r>
      <w:r>
        <w:rPr>
          <w:rFonts w:ascii="Calibri Light" w:hAnsi="Calibri Light" w:cstheme="minorHAnsi"/>
          <w:i w:val="0"/>
          <w:color w:val="auto"/>
          <w:szCs w:val="22"/>
        </w:rPr>
        <w:t>double-wide m</w:t>
      </w:r>
      <w:r w:rsidR="0050169A" w:rsidRPr="0050169A">
        <w:rPr>
          <w:rFonts w:ascii="Calibri Light" w:hAnsi="Calibri Light" w:cstheme="minorHAnsi"/>
          <w:i w:val="0"/>
          <w:color w:val="auto"/>
          <w:szCs w:val="22"/>
        </w:rPr>
        <w:t xml:space="preserve">obile </w:t>
      </w:r>
      <w:r>
        <w:rPr>
          <w:rFonts w:ascii="Calibri Light" w:hAnsi="Calibri Light" w:cstheme="minorHAnsi"/>
          <w:i w:val="0"/>
          <w:color w:val="auto"/>
          <w:szCs w:val="22"/>
        </w:rPr>
        <w:t>h</w:t>
      </w:r>
      <w:r w:rsidR="0050169A" w:rsidRPr="0050169A">
        <w:rPr>
          <w:rFonts w:ascii="Calibri Light" w:hAnsi="Calibri Light" w:cstheme="minorHAnsi"/>
          <w:i w:val="0"/>
          <w:color w:val="auto"/>
          <w:szCs w:val="22"/>
        </w:rPr>
        <w:t>ome</w:t>
      </w:r>
      <w:r w:rsidR="003F5050">
        <w:rPr>
          <w:rFonts w:ascii="Calibri Light" w:hAnsi="Calibri Light" w:cstheme="minorHAnsi"/>
          <w:i w:val="0"/>
          <w:color w:val="auto"/>
          <w:szCs w:val="22"/>
        </w:rPr>
        <w:t>s</w:t>
      </w:r>
      <w:r w:rsidR="0050169A">
        <w:rPr>
          <w:rFonts w:ascii="Calibri Light" w:hAnsi="Calibri Light" w:cstheme="minorHAnsi"/>
          <w:i w:val="0"/>
          <w:color w:val="auto"/>
          <w:szCs w:val="22"/>
        </w:rPr>
        <w:t>.</w:t>
      </w:r>
      <w:r w:rsidR="00D27730">
        <w:rPr>
          <w:rFonts w:ascii="Calibri Light" w:hAnsi="Calibri Light" w:cstheme="minorHAnsi"/>
          <w:i w:val="0"/>
          <w:color w:val="auto"/>
          <w:szCs w:val="22"/>
        </w:rPr>
        <w:t xml:space="preserve"> Parking garages are also eligible.</w:t>
      </w:r>
    </w:p>
    <w:p w14:paraId="634796E7" w14:textId="77777777" w:rsidR="00D95BE9" w:rsidRPr="0064628B" w:rsidRDefault="00D95BE9" w:rsidP="0050169A">
      <w:pPr>
        <w:pStyle w:val="Reminders"/>
        <w:rPr>
          <w:rFonts w:asciiTheme="minorHAnsi" w:hAnsiTheme="minorHAnsi" w:cstheme="minorHAnsi"/>
          <w:i w:val="0"/>
          <w:color w:val="auto"/>
          <w:szCs w:val="22"/>
        </w:rPr>
      </w:pPr>
    </w:p>
    <w:p w14:paraId="4C750ABD" w14:textId="77777777" w:rsidR="007B6A74" w:rsidRPr="004B06E3" w:rsidRDefault="00196649" w:rsidP="00154391">
      <w:pPr>
        <w:pStyle w:val="eTRMHeading5"/>
      </w:pPr>
      <w:r>
        <w:t>Eligible Climate Zones</w:t>
      </w:r>
    </w:p>
    <w:p w14:paraId="4129C0F0" w14:textId="6B6A2481" w:rsidR="006C41AD" w:rsidRDefault="004B6780" w:rsidP="004B06E3">
      <w:r>
        <w:t xml:space="preserve">This measure is applicable </w:t>
      </w:r>
      <w:r w:rsidR="004E76BB">
        <w:t>in</w:t>
      </w:r>
      <w:r>
        <w:t xml:space="preserve"> </w:t>
      </w:r>
      <w:r w:rsidR="00D27730">
        <w:t xml:space="preserve">all </w:t>
      </w:r>
      <w:r>
        <w:t>California climate zone</w:t>
      </w:r>
      <w:r w:rsidR="00D27730">
        <w:t>s</w:t>
      </w:r>
      <w:r>
        <w:t>.</w:t>
      </w:r>
    </w:p>
    <w:p w14:paraId="79DB8D94" w14:textId="77777777" w:rsidR="005D2E2C" w:rsidRPr="004B06E3" w:rsidRDefault="005D2E2C" w:rsidP="004B06E3"/>
    <w:p w14:paraId="76D35129" w14:textId="77777777" w:rsidR="0050169A" w:rsidRPr="004B06E3" w:rsidRDefault="007D230B" w:rsidP="00462BB6">
      <w:pPr>
        <w:pStyle w:val="eTRMHeading3"/>
      </w:pPr>
      <w:bookmarkStart w:id="30" w:name="_Toc486490853"/>
      <w:bookmarkStart w:id="31" w:name="_Toc486580924"/>
      <w:bookmarkStart w:id="32" w:name="_Toc40948492"/>
      <w:r w:rsidRPr="004B06E3">
        <w:t>Program Exclusions</w:t>
      </w:r>
      <w:bookmarkEnd w:id="30"/>
      <w:bookmarkEnd w:id="31"/>
      <w:bookmarkEnd w:id="32"/>
      <w:r w:rsidRPr="004B06E3">
        <w:t xml:space="preserve"> </w:t>
      </w:r>
    </w:p>
    <w:p w14:paraId="23DD8F67" w14:textId="243B2597" w:rsidR="00065E54" w:rsidRDefault="00065E54" w:rsidP="00065E54">
      <w:r>
        <w:t xml:space="preserve">This measure </w:t>
      </w:r>
      <w:r w:rsidR="0050169A">
        <w:t xml:space="preserve">does not apply to </w:t>
      </w:r>
      <w:r w:rsidR="005D2E2C">
        <w:t>residential single-</w:t>
      </w:r>
      <w:r w:rsidR="00DB4188">
        <w:t>family residences</w:t>
      </w:r>
      <w:r w:rsidR="005D2E2C">
        <w:t>.</w:t>
      </w:r>
    </w:p>
    <w:p w14:paraId="0C1DC5A2" w14:textId="22F2B157" w:rsidR="00CF7FBF" w:rsidRDefault="00CF7FBF" w:rsidP="00065E54">
      <w:r>
        <w:t>De-lamping is not eligible.</w:t>
      </w:r>
    </w:p>
    <w:p w14:paraId="538A1E63" w14:textId="129F01F9" w:rsidR="00CF7FBF" w:rsidRDefault="00E2602D" w:rsidP="00065E54">
      <w:r>
        <w:t>R</w:t>
      </w:r>
      <w:r w:rsidR="00CF7FBF">
        <w:t>e-ballast is not eligible.</w:t>
      </w:r>
    </w:p>
    <w:p w14:paraId="05D31F7D" w14:textId="2463D7C5" w:rsidR="007826D5" w:rsidRPr="00A72BFF" w:rsidRDefault="007826D5" w:rsidP="007826D5">
      <w:pPr>
        <w:rPr>
          <w:i/>
        </w:rPr>
      </w:pPr>
      <w:r w:rsidRPr="00A72BFF">
        <w:t xml:space="preserve">Replacement lamps designed to operate off </w:t>
      </w:r>
      <w:r w:rsidR="00D95BE9">
        <w:t xml:space="preserve">of </w:t>
      </w:r>
      <w:r w:rsidRPr="00A72BFF">
        <w:t xml:space="preserve">existing magnetic ballasts or off </w:t>
      </w:r>
      <w:r w:rsidR="00D95BE9">
        <w:t xml:space="preserve">of </w:t>
      </w:r>
      <w:r w:rsidRPr="00A72BFF">
        <w:t>other types of electronic ballasts are not eligible.</w:t>
      </w:r>
    </w:p>
    <w:p w14:paraId="0F6BB350" w14:textId="77777777" w:rsidR="005D2E2C" w:rsidRDefault="005D2E2C" w:rsidP="00065E54"/>
    <w:p w14:paraId="31CAC0AE" w14:textId="77777777" w:rsidR="007D230B" w:rsidRPr="004B06E3" w:rsidRDefault="007D230B" w:rsidP="00462BB6">
      <w:pPr>
        <w:pStyle w:val="eTRMHeading3"/>
      </w:pPr>
      <w:bookmarkStart w:id="33" w:name="_Toc486490854"/>
      <w:bookmarkStart w:id="34" w:name="_Toc486580925"/>
      <w:bookmarkStart w:id="35" w:name="_Toc40948493"/>
      <w:r w:rsidRPr="004B06E3">
        <w:lastRenderedPageBreak/>
        <w:t>Data Collection Requirements</w:t>
      </w:r>
      <w:bookmarkEnd w:id="33"/>
      <w:bookmarkEnd w:id="34"/>
      <w:bookmarkEnd w:id="35"/>
      <w:r w:rsidRPr="004B06E3">
        <w:t xml:space="preserve"> </w:t>
      </w:r>
    </w:p>
    <w:p w14:paraId="52FB6A8E" w14:textId="0BC7D6A3" w:rsidR="00CF7FBF" w:rsidRDefault="00E2602D" w:rsidP="00524992">
      <w:r>
        <w:t>Mandatory data collection requirements are:</w:t>
      </w:r>
    </w:p>
    <w:p w14:paraId="1233BB2E" w14:textId="04CE2A92" w:rsidR="00CF7FBF" w:rsidRDefault="00CF7FBF" w:rsidP="00524992">
      <w:r>
        <w:t xml:space="preserve">Pre-existing data </w:t>
      </w:r>
      <w:r w:rsidR="00251068">
        <w:t xml:space="preserve">that </w:t>
      </w:r>
      <w:r>
        <w:t xml:space="preserve">must be </w:t>
      </w:r>
      <w:r w:rsidR="00251068">
        <w:t>collected includes</w:t>
      </w:r>
      <w:r>
        <w:t>:</w:t>
      </w:r>
    </w:p>
    <w:p w14:paraId="65A09545" w14:textId="1D90D0FF" w:rsidR="00CF7FBF" w:rsidRDefault="00CF7FBF" w:rsidP="00524992">
      <w:pPr>
        <w:pStyle w:val="ListParagraph"/>
        <w:numPr>
          <w:ilvl w:val="0"/>
          <w:numId w:val="17"/>
        </w:numPr>
      </w:pPr>
      <w:r>
        <w:t xml:space="preserve">Total </w:t>
      </w:r>
      <w:r w:rsidR="007A0CE6">
        <w:t>number</w:t>
      </w:r>
      <w:r>
        <w:t xml:space="preserve"> of fixtures on site </w:t>
      </w:r>
    </w:p>
    <w:p w14:paraId="5C8B75CB" w14:textId="77777777" w:rsidR="00CF7FBF" w:rsidRDefault="00CF7FBF" w:rsidP="00524992">
      <w:pPr>
        <w:pStyle w:val="ListParagraph"/>
        <w:numPr>
          <w:ilvl w:val="0"/>
          <w:numId w:val="17"/>
        </w:numPr>
      </w:pPr>
      <w:r>
        <w:t>Number of fixtures sampled (must sample at least 10% of the fixtures present)</w:t>
      </w:r>
    </w:p>
    <w:p w14:paraId="6D32E501" w14:textId="7443C73A" w:rsidR="00CF7FBF" w:rsidRDefault="00CF7FBF" w:rsidP="00524992">
      <w:pPr>
        <w:pStyle w:val="ListParagraph"/>
        <w:numPr>
          <w:ilvl w:val="0"/>
          <w:numId w:val="17"/>
        </w:numPr>
      </w:pPr>
      <w:r>
        <w:t xml:space="preserve">Number of lamps per fixture  </w:t>
      </w:r>
    </w:p>
    <w:p w14:paraId="548845A8" w14:textId="78B19C32" w:rsidR="00CF7FBF" w:rsidRDefault="00CF7FBF" w:rsidP="00524992">
      <w:pPr>
        <w:pStyle w:val="ListParagraph"/>
        <w:numPr>
          <w:ilvl w:val="0"/>
          <w:numId w:val="17"/>
        </w:numPr>
      </w:pPr>
      <w:r>
        <w:t xml:space="preserve">Number of ballasts per fixture </w:t>
      </w:r>
    </w:p>
    <w:p w14:paraId="0AE52643" w14:textId="77777777" w:rsidR="00CF7FBF" w:rsidRDefault="00CF7FBF" w:rsidP="00524992">
      <w:pPr>
        <w:pStyle w:val="ListParagraph"/>
        <w:numPr>
          <w:ilvl w:val="0"/>
          <w:numId w:val="17"/>
        </w:numPr>
      </w:pPr>
      <w:r>
        <w:t>Ballast model number</w:t>
      </w:r>
    </w:p>
    <w:p w14:paraId="13F97EDB" w14:textId="77777777" w:rsidR="00CF7FBF" w:rsidRDefault="00CF7FBF" w:rsidP="00524992">
      <w:pPr>
        <w:pStyle w:val="ListParagraph"/>
        <w:numPr>
          <w:ilvl w:val="0"/>
          <w:numId w:val="17"/>
        </w:numPr>
      </w:pPr>
      <w:r>
        <w:t xml:space="preserve">Ballast manufacturer </w:t>
      </w:r>
    </w:p>
    <w:p w14:paraId="658458F8" w14:textId="77777777" w:rsidR="00CF7FBF" w:rsidRDefault="00CF7FBF" w:rsidP="00524992">
      <w:pPr>
        <w:pStyle w:val="ListParagraph"/>
        <w:numPr>
          <w:ilvl w:val="0"/>
          <w:numId w:val="17"/>
        </w:numPr>
      </w:pPr>
      <w:r>
        <w:t xml:space="preserve">Fluorescent lamp wattage </w:t>
      </w:r>
    </w:p>
    <w:p w14:paraId="4A4EAB07" w14:textId="657F4A44" w:rsidR="005D2E2C" w:rsidRDefault="00CF7FBF" w:rsidP="00524992">
      <w:pPr>
        <w:pStyle w:val="ListParagraph"/>
        <w:numPr>
          <w:ilvl w:val="0"/>
          <w:numId w:val="17"/>
        </w:numPr>
      </w:pPr>
      <w:r>
        <w:t>Disposal method of tube</w:t>
      </w:r>
    </w:p>
    <w:p w14:paraId="2F9C72F3" w14:textId="614E5E50" w:rsidR="00E2602D" w:rsidRDefault="00E2602D" w:rsidP="00524992">
      <w:pPr>
        <w:pStyle w:val="ListParagraph"/>
        <w:numPr>
          <w:ilvl w:val="0"/>
          <w:numId w:val="17"/>
        </w:numPr>
      </w:pPr>
      <w:r>
        <w:t>Manufacturer cut sheet showing ballast compatibility</w:t>
      </w:r>
    </w:p>
    <w:p w14:paraId="0DFB31C9" w14:textId="77777777" w:rsidR="00CF7FBF" w:rsidRDefault="00CF7FBF" w:rsidP="00CF7FBF">
      <w:bookmarkStart w:id="36" w:name="_Toc486490855"/>
      <w:bookmarkStart w:id="37" w:name="_Toc486580926"/>
    </w:p>
    <w:p w14:paraId="470400E3" w14:textId="78527263" w:rsidR="007D230B" w:rsidRPr="004B06E3" w:rsidRDefault="007D230B" w:rsidP="00462BB6">
      <w:pPr>
        <w:pStyle w:val="eTRMHeading3"/>
      </w:pPr>
      <w:bookmarkStart w:id="38" w:name="_Toc40948494"/>
      <w:r w:rsidRPr="004B06E3">
        <w:t>Use Category</w:t>
      </w:r>
      <w:bookmarkEnd w:id="36"/>
      <w:bookmarkEnd w:id="37"/>
      <w:bookmarkEnd w:id="38"/>
    </w:p>
    <w:p w14:paraId="7FA2DA08" w14:textId="77777777" w:rsidR="004142EF" w:rsidRDefault="0050169A" w:rsidP="004B06E3">
      <w:r>
        <w:t>Lighting</w:t>
      </w:r>
    </w:p>
    <w:p w14:paraId="25934F62" w14:textId="77777777" w:rsidR="005D2E2C" w:rsidRPr="004B06E3" w:rsidRDefault="005D2E2C" w:rsidP="004B06E3"/>
    <w:p w14:paraId="1A3D469D" w14:textId="77777777" w:rsidR="00953C3B" w:rsidRDefault="00953C3B" w:rsidP="00953C3B">
      <w:pPr>
        <w:pStyle w:val="eTRMHeading3"/>
      </w:pPr>
      <w:bookmarkStart w:id="39" w:name="_Toc506890113"/>
      <w:bookmarkStart w:id="40" w:name="_Toc517178421"/>
      <w:bookmarkStart w:id="41" w:name="_Toc40948495"/>
      <w:r>
        <w:t>Electric Savings (</w:t>
      </w:r>
      <w:r>
        <w:rPr>
          <w:caps w:val="0"/>
        </w:rPr>
        <w:t>k</w:t>
      </w:r>
      <w:r>
        <w:t>W</w:t>
      </w:r>
      <w:r>
        <w:rPr>
          <w:caps w:val="0"/>
        </w:rPr>
        <w:t>h</w:t>
      </w:r>
      <w:r>
        <w:t>)</w:t>
      </w:r>
      <w:bookmarkEnd w:id="39"/>
      <w:bookmarkEnd w:id="40"/>
      <w:bookmarkEnd w:id="41"/>
    </w:p>
    <w:p w14:paraId="6DF075C0" w14:textId="59C903FD" w:rsidR="003F1719" w:rsidRDefault="003F1719" w:rsidP="003F1719">
      <w:pPr>
        <w:rPr>
          <w:rStyle w:val="apple-converted-space"/>
        </w:rPr>
      </w:pPr>
      <w:r>
        <w:t xml:space="preserve">The calculation of annual </w:t>
      </w:r>
      <w:r w:rsidR="00A6479A">
        <w:t>electric unit</w:t>
      </w:r>
      <w:r>
        <w:t xml:space="preserve"> energy savings</w:t>
      </w:r>
      <w:r w:rsidR="00A6479A">
        <w:t xml:space="preserve"> (UES)</w:t>
      </w:r>
      <w:r>
        <w:t xml:space="preserve"> of the LED T8 lamp is </w:t>
      </w:r>
      <w:r w:rsidR="00574E86">
        <w:t>a function of the difference between the baseline and measure case lamp wattage, hours of operation, and interactive effects</w:t>
      </w:r>
      <w:r>
        <w:t xml:space="preserve">. </w:t>
      </w:r>
    </w:p>
    <w:p w14:paraId="6B1EAAA2" w14:textId="18460DFD" w:rsidR="00A6479A" w:rsidRPr="00A6479A" w:rsidRDefault="00A6479A" w:rsidP="00A6479A">
      <w:pPr>
        <w:ind w:left="720" w:hanging="720"/>
        <w:rPr>
          <w:sz w:val="18"/>
        </w:rPr>
      </w:pPr>
      <m:oMathPara>
        <m:oMathParaPr>
          <m:jc m:val="left"/>
        </m:oMathParaPr>
        <m:oMath>
          <m:r>
            <w:rPr>
              <w:rFonts w:ascii="Cambria Math" w:hAnsi="Cambria Math"/>
              <w:sz w:val="18"/>
            </w:rPr>
            <m:t>UES=</m:t>
          </m:r>
          <m:f>
            <m:fPr>
              <m:ctrlPr>
                <w:rPr>
                  <w:rFonts w:ascii="Cambria Math" w:hAnsi="Cambria Math"/>
                  <w:i/>
                  <w:sz w:val="18"/>
                </w:rPr>
              </m:ctrlPr>
            </m:fPr>
            <m:num>
              <m:r>
                <w:rPr>
                  <w:rFonts w:ascii="Cambria Math" w:hAnsi="Cambria Math"/>
                  <w:sz w:val="18"/>
                </w:rPr>
                <m:t>∆W×HOURS×IE</m:t>
              </m:r>
            </m:num>
            <m:den>
              <m:r>
                <w:rPr>
                  <w:rFonts w:ascii="Cambria Math" w:hAnsi="Cambria Math"/>
                  <w:sz w:val="18"/>
                </w:rPr>
                <m:t>1,000 Wh / kWh</m:t>
              </m:r>
            </m:den>
          </m:f>
        </m:oMath>
      </m:oMathPara>
    </w:p>
    <w:p w14:paraId="6890D907" w14:textId="77777777" w:rsidR="009547A7" w:rsidRDefault="009547A7" w:rsidP="009547A7">
      <w:pPr>
        <w:pStyle w:val="Reminders"/>
        <w:ind w:left="1440"/>
        <w:rPr>
          <w:rFonts w:asciiTheme="minorHAnsi" w:hAnsiTheme="minorHAnsi" w:cstheme="minorHAnsi"/>
          <w:color w:val="191919" w:themeColor="text1"/>
          <w:szCs w:val="22"/>
        </w:rPr>
      </w:pPr>
    </w:p>
    <w:p w14:paraId="185F3C76" w14:textId="3864409D" w:rsidR="00A6479A" w:rsidRPr="00A6479A" w:rsidRDefault="00A6479A" w:rsidP="00153DFF">
      <w:pPr>
        <w:ind w:left="1530"/>
        <w:rPr>
          <w:rFonts w:ascii="Cambria Math" w:hAnsi="Cambria Math"/>
          <w:i/>
          <w:sz w:val="18"/>
          <w:szCs w:val="18"/>
        </w:rPr>
      </w:pPr>
      <w:r w:rsidRPr="00A6479A">
        <w:rPr>
          <w:rFonts w:ascii="Cambria Math" w:hAnsi="Cambria Math"/>
          <w:i/>
          <w:sz w:val="18"/>
          <w:szCs w:val="18"/>
        </w:rPr>
        <w:t xml:space="preserve">UES = </w:t>
      </w:r>
      <w:r>
        <w:rPr>
          <w:rFonts w:ascii="Cambria Math" w:hAnsi="Cambria Math"/>
          <w:i/>
          <w:sz w:val="18"/>
          <w:szCs w:val="18"/>
        </w:rPr>
        <w:tab/>
      </w:r>
      <w:r>
        <w:rPr>
          <w:rFonts w:ascii="Cambria Math" w:hAnsi="Cambria Math"/>
          <w:i/>
          <w:sz w:val="18"/>
          <w:szCs w:val="18"/>
        </w:rPr>
        <w:tab/>
      </w:r>
      <w:r w:rsidRPr="00A6479A">
        <w:rPr>
          <w:rFonts w:ascii="Cambria Math" w:hAnsi="Cambria Math"/>
          <w:i/>
          <w:sz w:val="18"/>
          <w:szCs w:val="18"/>
        </w:rPr>
        <w:t>unit energy savings (kWh per lamp)</w:t>
      </w:r>
    </w:p>
    <w:p w14:paraId="70FEE77A" w14:textId="790F958F" w:rsidR="00DA629F" w:rsidRPr="00A6479A" w:rsidRDefault="00DA629F" w:rsidP="00153DFF">
      <w:pPr>
        <w:ind w:left="1530"/>
        <w:rPr>
          <w:rFonts w:ascii="Cambria Math" w:hAnsi="Cambria Math"/>
          <w:i/>
          <w:sz w:val="18"/>
          <w:szCs w:val="18"/>
        </w:rPr>
      </w:pPr>
      <w:r w:rsidRPr="00A6479A">
        <w:rPr>
          <w:rFonts w:ascii="Cambria Math" w:hAnsi="Cambria Math"/>
          <w:i/>
          <w:sz w:val="18"/>
          <w:szCs w:val="18"/>
        </w:rPr>
        <w:t xml:space="preserve">∆Watts/unit = </w:t>
      </w:r>
      <w:r w:rsidR="00A6479A">
        <w:rPr>
          <w:rFonts w:ascii="Cambria Math" w:hAnsi="Cambria Math"/>
          <w:i/>
          <w:sz w:val="18"/>
          <w:szCs w:val="18"/>
        </w:rPr>
        <w:tab/>
      </w:r>
      <w:r w:rsidR="00A6479A" w:rsidRPr="00A6479A">
        <w:rPr>
          <w:rFonts w:ascii="Cambria Math" w:hAnsi="Cambria Math"/>
          <w:i/>
          <w:sz w:val="18"/>
          <w:szCs w:val="18"/>
        </w:rPr>
        <w:t>(</w:t>
      </w:r>
      <w:r w:rsidR="009547A7" w:rsidRPr="00A6479A">
        <w:rPr>
          <w:rFonts w:ascii="Cambria Math" w:hAnsi="Cambria Math"/>
          <w:i/>
          <w:sz w:val="18"/>
          <w:szCs w:val="18"/>
        </w:rPr>
        <w:t>Base Case</w:t>
      </w:r>
      <w:r w:rsidRPr="00A6479A">
        <w:rPr>
          <w:rFonts w:ascii="Cambria Math" w:hAnsi="Cambria Math"/>
          <w:i/>
          <w:sz w:val="18"/>
          <w:szCs w:val="18"/>
        </w:rPr>
        <w:t xml:space="preserve"> Average Watts</w:t>
      </w:r>
      <w:r w:rsidR="00A6479A" w:rsidRPr="00A6479A">
        <w:rPr>
          <w:rFonts w:ascii="Cambria Math" w:hAnsi="Cambria Math"/>
          <w:i/>
          <w:sz w:val="18"/>
          <w:szCs w:val="18"/>
        </w:rPr>
        <w:t xml:space="preserve"> per lamp)</w:t>
      </w:r>
      <w:r w:rsidRPr="00A6479A">
        <w:rPr>
          <w:rFonts w:ascii="Cambria Math" w:hAnsi="Cambria Math"/>
          <w:i/>
          <w:sz w:val="18"/>
          <w:szCs w:val="18"/>
        </w:rPr>
        <w:t xml:space="preserve"> – </w:t>
      </w:r>
      <w:r w:rsidR="00A6479A" w:rsidRPr="00A6479A">
        <w:rPr>
          <w:rFonts w:ascii="Cambria Math" w:hAnsi="Cambria Math"/>
          <w:i/>
          <w:sz w:val="18"/>
          <w:szCs w:val="18"/>
        </w:rPr>
        <w:t>(</w:t>
      </w:r>
      <w:r w:rsidRPr="00A6479A">
        <w:rPr>
          <w:rFonts w:ascii="Cambria Math" w:hAnsi="Cambria Math"/>
          <w:i/>
          <w:sz w:val="18"/>
          <w:szCs w:val="18"/>
        </w:rPr>
        <w:t>Measure</w:t>
      </w:r>
      <w:r w:rsidR="009547A7" w:rsidRPr="00A6479A">
        <w:rPr>
          <w:rFonts w:ascii="Cambria Math" w:hAnsi="Cambria Math"/>
          <w:i/>
          <w:sz w:val="18"/>
          <w:szCs w:val="18"/>
        </w:rPr>
        <w:t xml:space="preserve"> Case</w:t>
      </w:r>
      <w:r w:rsidRPr="00A6479A">
        <w:rPr>
          <w:rFonts w:ascii="Cambria Math" w:hAnsi="Cambria Math"/>
          <w:i/>
          <w:sz w:val="18"/>
          <w:szCs w:val="18"/>
        </w:rPr>
        <w:t xml:space="preserve"> Average Watts</w:t>
      </w:r>
      <w:r w:rsidR="00A6479A" w:rsidRPr="00A6479A">
        <w:rPr>
          <w:rFonts w:ascii="Cambria Math" w:hAnsi="Cambria Math"/>
          <w:i/>
          <w:sz w:val="18"/>
          <w:szCs w:val="18"/>
        </w:rPr>
        <w:t xml:space="preserve"> per lamp)</w:t>
      </w:r>
    </w:p>
    <w:p w14:paraId="124F66B0" w14:textId="65E97693" w:rsidR="00A6479A" w:rsidRPr="00A6479A" w:rsidRDefault="00A6479A" w:rsidP="00153DFF">
      <w:pPr>
        <w:ind w:left="1530"/>
        <w:rPr>
          <w:rFonts w:ascii="Cambria Math" w:hAnsi="Cambria Math"/>
          <w:i/>
          <w:sz w:val="18"/>
          <w:szCs w:val="18"/>
        </w:rPr>
      </w:pPr>
      <w:r w:rsidRPr="00A6479A">
        <w:rPr>
          <w:rFonts w:ascii="Cambria Math" w:hAnsi="Cambria Math"/>
          <w:i/>
          <w:sz w:val="18"/>
          <w:szCs w:val="18"/>
        </w:rPr>
        <w:t xml:space="preserve">HOURS = </w:t>
      </w:r>
      <w:r>
        <w:rPr>
          <w:rFonts w:ascii="Cambria Math" w:hAnsi="Cambria Math"/>
          <w:i/>
          <w:sz w:val="18"/>
          <w:szCs w:val="18"/>
        </w:rPr>
        <w:tab/>
      </w:r>
      <w:r w:rsidRPr="00A6479A">
        <w:rPr>
          <w:rFonts w:ascii="Cambria Math" w:hAnsi="Cambria Math"/>
          <w:i/>
          <w:sz w:val="18"/>
          <w:szCs w:val="18"/>
        </w:rPr>
        <w:t>Annual hours of use, by building type/space</w:t>
      </w:r>
    </w:p>
    <w:p w14:paraId="2BB07028" w14:textId="0FC9F13B" w:rsidR="00A6479A" w:rsidRPr="00A6479A" w:rsidRDefault="00A6479A" w:rsidP="00153DFF">
      <w:pPr>
        <w:ind w:left="1530"/>
        <w:rPr>
          <w:rFonts w:ascii="Cambria Math" w:hAnsi="Cambria Math"/>
          <w:i/>
          <w:sz w:val="18"/>
          <w:szCs w:val="18"/>
        </w:rPr>
      </w:pPr>
      <w:r w:rsidRPr="00A6479A">
        <w:rPr>
          <w:rFonts w:ascii="Cambria Math" w:hAnsi="Cambria Math"/>
          <w:i/>
          <w:sz w:val="18"/>
          <w:szCs w:val="18"/>
        </w:rPr>
        <w:t xml:space="preserve">IE = </w:t>
      </w:r>
      <w:r>
        <w:rPr>
          <w:rFonts w:ascii="Cambria Math" w:hAnsi="Cambria Math"/>
          <w:i/>
          <w:sz w:val="18"/>
          <w:szCs w:val="18"/>
        </w:rPr>
        <w:tab/>
      </w:r>
      <w:r>
        <w:rPr>
          <w:rFonts w:ascii="Cambria Math" w:hAnsi="Cambria Math"/>
          <w:i/>
          <w:sz w:val="18"/>
          <w:szCs w:val="18"/>
        </w:rPr>
        <w:tab/>
      </w:r>
      <w:r w:rsidRPr="00A6479A">
        <w:rPr>
          <w:rFonts w:ascii="Cambria Math" w:hAnsi="Cambria Math"/>
          <w:i/>
          <w:sz w:val="18"/>
          <w:szCs w:val="18"/>
        </w:rPr>
        <w:t>Interactive Effects, by building type/space</w:t>
      </w:r>
    </w:p>
    <w:p w14:paraId="7E032761" w14:textId="77777777" w:rsidR="00143D88" w:rsidRDefault="00143D88" w:rsidP="00143D88">
      <w:pPr>
        <w:pStyle w:val="Reminders"/>
        <w:rPr>
          <w:rFonts w:asciiTheme="minorHAnsi" w:hAnsiTheme="minorHAnsi" w:cstheme="minorHAnsi"/>
          <w:i w:val="0"/>
          <w:color w:val="auto"/>
          <w:szCs w:val="22"/>
        </w:rPr>
      </w:pPr>
    </w:p>
    <w:p w14:paraId="5A0AC260" w14:textId="633569DD" w:rsidR="0094495E" w:rsidRDefault="0094495E" w:rsidP="0094495E">
      <w:r>
        <w:t xml:space="preserve">The inputs </w:t>
      </w:r>
      <w:r w:rsidR="00574E86">
        <w:t>to the UES calculation are</w:t>
      </w:r>
      <w:r>
        <w:t xml:space="preserve"> </w:t>
      </w:r>
      <w:r w:rsidR="00574E86">
        <w:t>explained</w:t>
      </w:r>
      <w:r>
        <w:t xml:space="preserve"> below.</w:t>
      </w:r>
    </w:p>
    <w:p w14:paraId="63EE7621" w14:textId="2D3D7F04" w:rsidR="003641A2" w:rsidRDefault="00E85DFC" w:rsidP="003641A2">
      <w:r>
        <w:rPr>
          <w:b/>
        </w:rPr>
        <w:t>Baseline</w:t>
      </w:r>
      <w:r w:rsidR="003641A2" w:rsidRPr="003641A2">
        <w:rPr>
          <w:b/>
        </w:rPr>
        <w:t xml:space="preserve"> Average Watts</w:t>
      </w:r>
      <w:r w:rsidR="00055E07">
        <w:rPr>
          <w:b/>
        </w:rPr>
        <w:t xml:space="preserve"> per </w:t>
      </w:r>
      <w:r w:rsidR="00A6479A">
        <w:rPr>
          <w:b/>
        </w:rPr>
        <w:t>Lamp</w:t>
      </w:r>
      <w:r w:rsidR="00EF513A">
        <w:rPr>
          <w:b/>
        </w:rPr>
        <w:t xml:space="preserve">. </w:t>
      </w:r>
      <w:r w:rsidR="00CF7FBF" w:rsidRPr="008859BE">
        <w:t>The base case averag</w:t>
      </w:r>
      <w:r w:rsidR="00CF7FBF">
        <w:t>e lamp wattage was derived from</w:t>
      </w:r>
      <w:r w:rsidR="00CF7FBF" w:rsidRPr="00913D9A">
        <w:t xml:space="preserve"> </w:t>
      </w:r>
      <w:r w:rsidR="00CF7FBF">
        <w:t xml:space="preserve">a weighted average of the base case type lamps (25 W, 28 W, 30 W and 32 W). </w:t>
      </w:r>
      <w:r w:rsidR="00FE06A3">
        <w:t>201</w:t>
      </w:r>
      <w:r w:rsidR="00510194">
        <w:t>8-19</w:t>
      </w:r>
      <w:r w:rsidR="00FE06A3">
        <w:t xml:space="preserve"> program participation </w:t>
      </w:r>
      <w:r w:rsidR="00FE06A3">
        <w:rPr>
          <w:szCs w:val="22"/>
        </w:rPr>
        <w:t>d</w:t>
      </w:r>
      <w:r w:rsidR="00CF7FBF">
        <w:rPr>
          <w:szCs w:val="22"/>
        </w:rPr>
        <w:t>ata on 167,075</w:t>
      </w:r>
      <w:r w:rsidR="00CF7FBF" w:rsidRPr="00A72BFF">
        <w:rPr>
          <w:szCs w:val="22"/>
        </w:rPr>
        <w:t xml:space="preserve"> lamp</w:t>
      </w:r>
      <w:r w:rsidR="00CF7FBF">
        <w:rPr>
          <w:szCs w:val="22"/>
        </w:rPr>
        <w:t>s</w:t>
      </w:r>
      <w:r w:rsidR="00CF7FBF" w:rsidRPr="00A72BFF">
        <w:rPr>
          <w:szCs w:val="22"/>
        </w:rPr>
        <w:t xml:space="preserve"> were analyzed</w:t>
      </w:r>
      <w:r w:rsidR="00CF7FBF">
        <w:rPr>
          <w:szCs w:val="22"/>
        </w:rPr>
        <w:t xml:space="preserve">; </w:t>
      </w:r>
      <w:r w:rsidR="00CF7FBF" w:rsidRPr="00A72BFF">
        <w:rPr>
          <w:szCs w:val="22"/>
        </w:rPr>
        <w:t xml:space="preserve">the </w:t>
      </w:r>
      <w:r w:rsidR="00CF7FBF">
        <w:rPr>
          <w:szCs w:val="22"/>
        </w:rPr>
        <w:t xml:space="preserve">base case lamp </w:t>
      </w:r>
      <w:r w:rsidR="00CF7FBF" w:rsidRPr="00A72BFF">
        <w:rPr>
          <w:szCs w:val="22"/>
        </w:rPr>
        <w:t xml:space="preserve">wattage </w:t>
      </w:r>
      <w:r w:rsidR="00CF7FBF">
        <w:rPr>
          <w:szCs w:val="22"/>
        </w:rPr>
        <w:t>distribution</w:t>
      </w:r>
      <w:r w:rsidR="00CF7FBF" w:rsidRPr="00A72BFF">
        <w:rPr>
          <w:szCs w:val="22"/>
        </w:rPr>
        <w:t xml:space="preserve"> is </w:t>
      </w:r>
      <w:r w:rsidR="00CF7FBF">
        <w:rPr>
          <w:szCs w:val="22"/>
        </w:rPr>
        <w:t xml:space="preserve">shown below. </w:t>
      </w:r>
      <w:r w:rsidR="00CF7FBF">
        <w:t>Base case wattages were normalized to account for a normal ballast factor of 0.88. For simplicity of the analysis, only 28W and 32W lamps were included in the weighted average as they comprised more than 99% of the baseline.</w:t>
      </w:r>
    </w:p>
    <w:p w14:paraId="605C3037" w14:textId="2B3E88CF" w:rsidR="00CF7FBF" w:rsidRPr="004D2465" w:rsidRDefault="00811365">
      <w:pPr>
        <w:pStyle w:val="Caption"/>
      </w:pPr>
      <w:r>
        <w:t>Baseline</w:t>
      </w:r>
      <w:r w:rsidRPr="004D2465">
        <w:t xml:space="preserve"> </w:t>
      </w:r>
      <w:r w:rsidR="00CF7FBF" w:rsidRPr="004D2465">
        <w:t>Case Wattage Saturation Distribution</w:t>
      </w:r>
    </w:p>
    <w:tbl>
      <w:tblPr>
        <w:tblStyle w:val="TableGrid1"/>
        <w:tblW w:w="9517"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45"/>
        <w:gridCol w:w="1992"/>
        <w:gridCol w:w="2070"/>
        <w:gridCol w:w="3510"/>
      </w:tblGrid>
      <w:tr w:rsidR="00CF7FBF" w:rsidRPr="00B41EA8" w14:paraId="197CBAC1" w14:textId="77777777" w:rsidTr="00CF7FBF">
        <w:trPr>
          <w:cantSplit/>
          <w:trHeight w:val="10"/>
        </w:trPr>
        <w:tc>
          <w:tcPr>
            <w:tcW w:w="1945" w:type="dxa"/>
            <w:shd w:val="clear" w:color="auto" w:fill="F2F2F2" w:themeFill="background1" w:themeFillShade="F2"/>
            <w:noWrap/>
            <w:vAlign w:val="bottom"/>
            <w:hideMark/>
          </w:tcPr>
          <w:p w14:paraId="4BB2A797" w14:textId="77777777" w:rsidR="00CF7FBF" w:rsidRPr="00B41EA8" w:rsidRDefault="00CF7FBF" w:rsidP="00B80039">
            <w:pPr>
              <w:spacing w:before="20" w:after="20"/>
              <w:jc w:val="center"/>
              <w:rPr>
                <w:b/>
                <w:color w:val="000000"/>
                <w:sz w:val="20"/>
              </w:rPr>
            </w:pPr>
            <w:bookmarkStart w:id="42" w:name="_Hlk4666611"/>
            <w:r w:rsidRPr="00B41EA8">
              <w:rPr>
                <w:b/>
                <w:color w:val="000000"/>
                <w:sz w:val="20"/>
              </w:rPr>
              <w:t>Base Case Wattage</w:t>
            </w:r>
            <w:r>
              <w:rPr>
                <w:b/>
                <w:color w:val="000000"/>
                <w:sz w:val="20"/>
              </w:rPr>
              <w:t xml:space="preserve"> (W)</w:t>
            </w:r>
          </w:p>
        </w:tc>
        <w:tc>
          <w:tcPr>
            <w:tcW w:w="1992" w:type="dxa"/>
            <w:shd w:val="clear" w:color="auto" w:fill="F2F2F2" w:themeFill="background1" w:themeFillShade="F2"/>
            <w:vAlign w:val="bottom"/>
            <w:hideMark/>
          </w:tcPr>
          <w:p w14:paraId="27949C66" w14:textId="004EBBA3" w:rsidR="00CF7FBF" w:rsidRPr="00B41EA8" w:rsidRDefault="00CF7FBF" w:rsidP="00CF7FBF">
            <w:pPr>
              <w:spacing w:before="20" w:after="20"/>
              <w:jc w:val="center"/>
              <w:rPr>
                <w:b/>
                <w:color w:val="000000"/>
                <w:sz w:val="20"/>
              </w:rPr>
            </w:pPr>
            <w:r w:rsidRPr="00B41EA8">
              <w:rPr>
                <w:b/>
                <w:color w:val="000000"/>
                <w:sz w:val="20"/>
              </w:rPr>
              <w:t>% Saturation</w:t>
            </w:r>
            <w:r>
              <w:rPr>
                <w:b/>
                <w:color w:val="000000"/>
                <w:sz w:val="20"/>
              </w:rPr>
              <w:t xml:space="preserve"> </w:t>
            </w:r>
            <w:r>
              <w:rPr>
                <w:b/>
                <w:color w:val="000000"/>
                <w:sz w:val="20"/>
              </w:rPr>
              <w:br/>
              <w:t>(% used in analysis)</w:t>
            </w:r>
          </w:p>
        </w:tc>
        <w:tc>
          <w:tcPr>
            <w:tcW w:w="2070" w:type="dxa"/>
            <w:shd w:val="clear" w:color="auto" w:fill="F2F2F2" w:themeFill="background1" w:themeFillShade="F2"/>
            <w:vAlign w:val="bottom"/>
          </w:tcPr>
          <w:p w14:paraId="0B40C8AE" w14:textId="77777777" w:rsidR="00CF7FBF" w:rsidRDefault="00CF7FBF" w:rsidP="00B80039">
            <w:pPr>
              <w:spacing w:before="20" w:after="20"/>
              <w:jc w:val="center"/>
              <w:rPr>
                <w:b/>
                <w:color w:val="000000"/>
                <w:sz w:val="20"/>
              </w:rPr>
            </w:pPr>
            <w:r w:rsidRPr="006A1C7D">
              <w:rPr>
                <w:rFonts w:cstheme="minorHAnsi"/>
                <w:b/>
                <w:sz w:val="20"/>
              </w:rPr>
              <w:t xml:space="preserve">Normalized Base </w:t>
            </w:r>
            <w:r>
              <w:rPr>
                <w:rFonts w:cstheme="minorHAnsi"/>
                <w:b/>
                <w:sz w:val="20"/>
              </w:rPr>
              <w:t>Case Wattage (W)</w:t>
            </w:r>
          </w:p>
        </w:tc>
        <w:tc>
          <w:tcPr>
            <w:tcW w:w="3510" w:type="dxa"/>
            <w:shd w:val="clear" w:color="auto" w:fill="F2F2F2" w:themeFill="background1" w:themeFillShade="F2"/>
            <w:vAlign w:val="bottom"/>
          </w:tcPr>
          <w:p w14:paraId="4F5F6399" w14:textId="77777777" w:rsidR="00CF7FBF" w:rsidRPr="00B41EA8" w:rsidRDefault="00CF7FBF" w:rsidP="00B80039">
            <w:pPr>
              <w:spacing w:before="20" w:after="20"/>
              <w:jc w:val="center"/>
              <w:rPr>
                <w:b/>
                <w:color w:val="000000"/>
                <w:sz w:val="20"/>
              </w:rPr>
            </w:pPr>
            <w:r>
              <w:rPr>
                <w:b/>
                <w:color w:val="000000"/>
                <w:sz w:val="20"/>
              </w:rPr>
              <w:t>Source</w:t>
            </w:r>
          </w:p>
        </w:tc>
      </w:tr>
      <w:tr w:rsidR="00CF7FBF" w:rsidRPr="0073515B" w14:paraId="0F84C094" w14:textId="77777777" w:rsidTr="00CF7FBF">
        <w:trPr>
          <w:cantSplit/>
          <w:trHeight w:val="10"/>
        </w:trPr>
        <w:tc>
          <w:tcPr>
            <w:tcW w:w="1945" w:type="dxa"/>
            <w:noWrap/>
            <w:hideMark/>
          </w:tcPr>
          <w:p w14:paraId="61152D3E" w14:textId="77777777" w:rsidR="00CF7FBF" w:rsidRPr="0073515B" w:rsidRDefault="00CF7FBF" w:rsidP="00B80039">
            <w:pPr>
              <w:spacing w:before="20" w:after="20"/>
              <w:jc w:val="center"/>
              <w:rPr>
                <w:color w:val="000000"/>
                <w:sz w:val="20"/>
              </w:rPr>
            </w:pPr>
            <w:r w:rsidRPr="0073515B">
              <w:rPr>
                <w:color w:val="000000"/>
                <w:sz w:val="20"/>
              </w:rPr>
              <w:t>25</w:t>
            </w:r>
          </w:p>
        </w:tc>
        <w:tc>
          <w:tcPr>
            <w:tcW w:w="1992" w:type="dxa"/>
            <w:noWrap/>
            <w:vAlign w:val="center"/>
            <w:hideMark/>
          </w:tcPr>
          <w:p w14:paraId="04758708" w14:textId="77777777" w:rsidR="00CF7FBF" w:rsidRPr="0073515B" w:rsidRDefault="00CF7FBF" w:rsidP="004D2465">
            <w:pPr>
              <w:spacing w:before="20" w:after="20"/>
              <w:ind w:right="345"/>
              <w:jc w:val="right"/>
              <w:rPr>
                <w:color w:val="000000"/>
                <w:sz w:val="20"/>
              </w:rPr>
            </w:pPr>
            <w:r w:rsidRPr="00F75744">
              <w:t>0.36%</w:t>
            </w:r>
            <w:r>
              <w:t xml:space="preserve"> (0%)</w:t>
            </w:r>
          </w:p>
        </w:tc>
        <w:tc>
          <w:tcPr>
            <w:tcW w:w="2070" w:type="dxa"/>
            <w:vAlign w:val="center"/>
          </w:tcPr>
          <w:p w14:paraId="2BC9F9C7" w14:textId="77777777" w:rsidR="00CF7FBF" w:rsidRPr="00D234FB" w:rsidRDefault="00CF7FBF" w:rsidP="00B80039">
            <w:pPr>
              <w:spacing w:before="20" w:after="20"/>
              <w:jc w:val="center"/>
              <w:rPr>
                <w:sz w:val="18"/>
              </w:rPr>
            </w:pPr>
            <w:r w:rsidRPr="00376B6C">
              <w:t>22.0</w:t>
            </w:r>
          </w:p>
        </w:tc>
        <w:tc>
          <w:tcPr>
            <w:tcW w:w="3510" w:type="dxa"/>
            <w:vMerge w:val="restart"/>
            <w:vAlign w:val="center"/>
          </w:tcPr>
          <w:p w14:paraId="7E7FFFC9" w14:textId="19132433" w:rsidR="00CF7FBF" w:rsidRPr="00D234FB" w:rsidRDefault="00CF7FBF" w:rsidP="00B80039">
            <w:pPr>
              <w:spacing w:before="20" w:after="20"/>
              <w:rPr>
                <w:color w:val="000000"/>
                <w:sz w:val="18"/>
              </w:rPr>
            </w:pPr>
            <w:bookmarkStart w:id="43" w:name="_Hlk6476315"/>
            <w:r w:rsidRPr="00D95E04">
              <w:rPr>
                <w:sz w:val="18"/>
              </w:rPr>
              <w:t>Southern California Edison (SCE). 20</w:t>
            </w:r>
            <w:r w:rsidR="00287EBD">
              <w:rPr>
                <w:sz w:val="18"/>
              </w:rPr>
              <w:t>20</w:t>
            </w:r>
            <w:r w:rsidRPr="00D95E04">
              <w:rPr>
                <w:sz w:val="18"/>
              </w:rPr>
              <w:t>. "SWLG009-02 TLED Delta Watts Calculation</w:t>
            </w:r>
            <w:r w:rsidR="00A3514A">
              <w:rPr>
                <w:sz w:val="18"/>
              </w:rPr>
              <w:t>.xlsx</w:t>
            </w:r>
            <w:r w:rsidRPr="00D95E04">
              <w:rPr>
                <w:sz w:val="18"/>
              </w:rPr>
              <w:t>.”</w:t>
            </w:r>
            <w:bookmarkEnd w:id="43"/>
          </w:p>
        </w:tc>
      </w:tr>
      <w:tr w:rsidR="00CF7FBF" w:rsidRPr="0073515B" w14:paraId="037AB735" w14:textId="77777777" w:rsidTr="00CF7FBF">
        <w:trPr>
          <w:cantSplit/>
          <w:trHeight w:val="10"/>
        </w:trPr>
        <w:tc>
          <w:tcPr>
            <w:tcW w:w="1945" w:type="dxa"/>
            <w:noWrap/>
            <w:hideMark/>
          </w:tcPr>
          <w:p w14:paraId="72DC994C" w14:textId="77777777" w:rsidR="00CF7FBF" w:rsidRPr="0073515B" w:rsidRDefault="00CF7FBF" w:rsidP="00B80039">
            <w:pPr>
              <w:spacing w:before="20" w:after="20"/>
              <w:jc w:val="center"/>
              <w:rPr>
                <w:color w:val="000000"/>
                <w:sz w:val="20"/>
              </w:rPr>
            </w:pPr>
            <w:r w:rsidRPr="0073515B">
              <w:rPr>
                <w:color w:val="000000"/>
                <w:sz w:val="20"/>
              </w:rPr>
              <w:lastRenderedPageBreak/>
              <w:t>28</w:t>
            </w:r>
          </w:p>
        </w:tc>
        <w:tc>
          <w:tcPr>
            <w:tcW w:w="1992" w:type="dxa"/>
            <w:noWrap/>
            <w:vAlign w:val="center"/>
            <w:hideMark/>
          </w:tcPr>
          <w:p w14:paraId="13F1E6E8" w14:textId="77777777" w:rsidR="00CF7FBF" w:rsidRPr="0073515B" w:rsidRDefault="00CF7FBF" w:rsidP="004D2465">
            <w:pPr>
              <w:spacing w:before="20" w:after="20"/>
              <w:ind w:right="345"/>
              <w:jc w:val="right"/>
              <w:rPr>
                <w:color w:val="000000"/>
                <w:sz w:val="20"/>
              </w:rPr>
            </w:pPr>
            <w:r w:rsidRPr="00F75744">
              <w:t>41.69%</w:t>
            </w:r>
            <w:r>
              <w:t xml:space="preserve"> (42%)</w:t>
            </w:r>
          </w:p>
        </w:tc>
        <w:tc>
          <w:tcPr>
            <w:tcW w:w="2070" w:type="dxa"/>
            <w:vAlign w:val="center"/>
          </w:tcPr>
          <w:p w14:paraId="42341425" w14:textId="77777777" w:rsidR="00CF7FBF" w:rsidRPr="0073515B" w:rsidRDefault="00CF7FBF" w:rsidP="00B80039">
            <w:pPr>
              <w:spacing w:before="20" w:after="20"/>
              <w:jc w:val="center"/>
              <w:rPr>
                <w:color w:val="000000"/>
                <w:sz w:val="20"/>
              </w:rPr>
            </w:pPr>
            <w:r w:rsidRPr="00376B6C">
              <w:t>24.6</w:t>
            </w:r>
          </w:p>
        </w:tc>
        <w:tc>
          <w:tcPr>
            <w:tcW w:w="3510" w:type="dxa"/>
            <w:vMerge/>
          </w:tcPr>
          <w:p w14:paraId="62F59C51" w14:textId="77777777" w:rsidR="00CF7FBF" w:rsidRPr="0073515B" w:rsidRDefault="00CF7FBF" w:rsidP="00B80039">
            <w:pPr>
              <w:spacing w:before="20" w:after="20"/>
              <w:ind w:right="428"/>
              <w:jc w:val="right"/>
              <w:rPr>
                <w:color w:val="000000"/>
                <w:sz w:val="20"/>
              </w:rPr>
            </w:pPr>
          </w:p>
        </w:tc>
      </w:tr>
      <w:tr w:rsidR="00CF7FBF" w:rsidRPr="0073515B" w14:paraId="14BD358F" w14:textId="77777777" w:rsidTr="00CF7FBF">
        <w:trPr>
          <w:cantSplit/>
          <w:trHeight w:val="10"/>
        </w:trPr>
        <w:tc>
          <w:tcPr>
            <w:tcW w:w="1945" w:type="dxa"/>
            <w:noWrap/>
            <w:hideMark/>
          </w:tcPr>
          <w:p w14:paraId="15D30F53" w14:textId="77777777" w:rsidR="00CF7FBF" w:rsidRPr="0073515B" w:rsidRDefault="00CF7FBF" w:rsidP="00B80039">
            <w:pPr>
              <w:spacing w:before="20" w:after="20"/>
              <w:jc w:val="center"/>
              <w:rPr>
                <w:color w:val="000000"/>
                <w:sz w:val="20"/>
              </w:rPr>
            </w:pPr>
            <w:r w:rsidRPr="0073515B">
              <w:rPr>
                <w:color w:val="000000"/>
                <w:sz w:val="20"/>
              </w:rPr>
              <w:t>30</w:t>
            </w:r>
          </w:p>
        </w:tc>
        <w:tc>
          <w:tcPr>
            <w:tcW w:w="1992" w:type="dxa"/>
            <w:noWrap/>
            <w:vAlign w:val="center"/>
            <w:hideMark/>
          </w:tcPr>
          <w:p w14:paraId="5CFF96ED" w14:textId="77777777" w:rsidR="00CF7FBF" w:rsidRPr="0073515B" w:rsidRDefault="00CF7FBF" w:rsidP="004D2465">
            <w:pPr>
              <w:spacing w:before="20" w:after="20"/>
              <w:ind w:right="345"/>
              <w:jc w:val="right"/>
              <w:rPr>
                <w:color w:val="000000"/>
                <w:sz w:val="20"/>
              </w:rPr>
            </w:pPr>
            <w:r w:rsidRPr="00F75744">
              <w:t>0.18%</w:t>
            </w:r>
            <w:r>
              <w:t xml:space="preserve"> (0%)</w:t>
            </w:r>
          </w:p>
        </w:tc>
        <w:tc>
          <w:tcPr>
            <w:tcW w:w="2070" w:type="dxa"/>
            <w:vAlign w:val="center"/>
          </w:tcPr>
          <w:p w14:paraId="544DEFA4" w14:textId="77777777" w:rsidR="00CF7FBF" w:rsidRPr="0073515B" w:rsidRDefault="00CF7FBF" w:rsidP="00B80039">
            <w:pPr>
              <w:spacing w:before="20" w:after="20"/>
              <w:jc w:val="center"/>
              <w:rPr>
                <w:color w:val="000000"/>
                <w:sz w:val="20"/>
              </w:rPr>
            </w:pPr>
            <w:r w:rsidRPr="00376B6C">
              <w:t>26.4</w:t>
            </w:r>
          </w:p>
        </w:tc>
        <w:tc>
          <w:tcPr>
            <w:tcW w:w="3510" w:type="dxa"/>
            <w:vMerge/>
          </w:tcPr>
          <w:p w14:paraId="4CEF55D9" w14:textId="77777777" w:rsidR="00CF7FBF" w:rsidRPr="0073515B" w:rsidRDefault="00CF7FBF" w:rsidP="00B80039">
            <w:pPr>
              <w:spacing w:before="20" w:after="20"/>
              <w:ind w:right="428"/>
              <w:jc w:val="right"/>
              <w:rPr>
                <w:color w:val="000000"/>
                <w:sz w:val="20"/>
              </w:rPr>
            </w:pPr>
          </w:p>
        </w:tc>
      </w:tr>
      <w:tr w:rsidR="00CF7FBF" w:rsidRPr="0073515B" w14:paraId="504CEEDE" w14:textId="77777777" w:rsidTr="00CF7FBF">
        <w:trPr>
          <w:cantSplit/>
          <w:trHeight w:val="10"/>
        </w:trPr>
        <w:tc>
          <w:tcPr>
            <w:tcW w:w="1945" w:type="dxa"/>
            <w:noWrap/>
            <w:hideMark/>
          </w:tcPr>
          <w:p w14:paraId="39BC6C9E" w14:textId="77777777" w:rsidR="00CF7FBF" w:rsidRPr="0073515B" w:rsidRDefault="00CF7FBF" w:rsidP="00B80039">
            <w:pPr>
              <w:spacing w:before="20" w:after="20"/>
              <w:jc w:val="center"/>
              <w:rPr>
                <w:color w:val="000000"/>
                <w:sz w:val="20"/>
              </w:rPr>
            </w:pPr>
            <w:r w:rsidRPr="0073515B">
              <w:rPr>
                <w:color w:val="000000"/>
                <w:sz w:val="20"/>
              </w:rPr>
              <w:t>32</w:t>
            </w:r>
          </w:p>
        </w:tc>
        <w:tc>
          <w:tcPr>
            <w:tcW w:w="1992" w:type="dxa"/>
            <w:noWrap/>
            <w:vAlign w:val="center"/>
            <w:hideMark/>
          </w:tcPr>
          <w:p w14:paraId="0C9FAFAF" w14:textId="77777777" w:rsidR="00CF7FBF" w:rsidRPr="0073515B" w:rsidRDefault="00CF7FBF" w:rsidP="004D2465">
            <w:pPr>
              <w:spacing w:before="20" w:after="20"/>
              <w:ind w:right="345"/>
              <w:jc w:val="right"/>
              <w:rPr>
                <w:color w:val="000000"/>
                <w:sz w:val="20"/>
              </w:rPr>
            </w:pPr>
            <w:r w:rsidRPr="00F75744">
              <w:t>57.77%</w:t>
            </w:r>
            <w:r>
              <w:t xml:space="preserve"> (58%)</w:t>
            </w:r>
          </w:p>
        </w:tc>
        <w:tc>
          <w:tcPr>
            <w:tcW w:w="2070" w:type="dxa"/>
            <w:vAlign w:val="center"/>
          </w:tcPr>
          <w:p w14:paraId="65238E96" w14:textId="77777777" w:rsidR="00CF7FBF" w:rsidRPr="0073515B" w:rsidRDefault="00CF7FBF" w:rsidP="00B80039">
            <w:pPr>
              <w:spacing w:before="20" w:after="20"/>
              <w:jc w:val="center"/>
              <w:rPr>
                <w:color w:val="000000"/>
                <w:sz w:val="20"/>
              </w:rPr>
            </w:pPr>
            <w:r w:rsidRPr="00376B6C">
              <w:t>28.2</w:t>
            </w:r>
          </w:p>
        </w:tc>
        <w:tc>
          <w:tcPr>
            <w:tcW w:w="3510" w:type="dxa"/>
            <w:vMerge/>
          </w:tcPr>
          <w:p w14:paraId="2021EB4F" w14:textId="77777777" w:rsidR="00CF7FBF" w:rsidRPr="0073515B" w:rsidRDefault="00CF7FBF" w:rsidP="00B80039">
            <w:pPr>
              <w:spacing w:before="20" w:after="20"/>
              <w:ind w:right="428"/>
              <w:jc w:val="right"/>
              <w:rPr>
                <w:color w:val="000000"/>
                <w:sz w:val="20"/>
              </w:rPr>
            </w:pPr>
          </w:p>
        </w:tc>
      </w:tr>
      <w:tr w:rsidR="00CF7FBF" w:rsidRPr="0073515B" w14:paraId="0CCFB77C" w14:textId="77777777" w:rsidTr="00CF7FBF">
        <w:trPr>
          <w:cantSplit/>
          <w:trHeight w:val="10"/>
        </w:trPr>
        <w:tc>
          <w:tcPr>
            <w:tcW w:w="3937" w:type="dxa"/>
            <w:gridSpan w:val="2"/>
            <w:noWrap/>
          </w:tcPr>
          <w:p w14:paraId="3274AB31" w14:textId="77777777" w:rsidR="00CF7FBF" w:rsidRPr="007C58EA" w:rsidRDefault="00CF7FBF" w:rsidP="00B80039">
            <w:pPr>
              <w:spacing w:before="20" w:after="20"/>
              <w:jc w:val="center"/>
              <w:rPr>
                <w:color w:val="000000"/>
                <w:sz w:val="20"/>
              </w:rPr>
            </w:pPr>
            <w:r w:rsidRPr="007C58EA">
              <w:rPr>
                <w:color w:val="000000"/>
                <w:sz w:val="20"/>
              </w:rPr>
              <w:t>Total Weighted Average</w:t>
            </w:r>
          </w:p>
        </w:tc>
        <w:tc>
          <w:tcPr>
            <w:tcW w:w="2070" w:type="dxa"/>
            <w:vAlign w:val="center"/>
          </w:tcPr>
          <w:p w14:paraId="40D849E6" w14:textId="77777777" w:rsidR="00CF7FBF" w:rsidRPr="007C58EA" w:rsidRDefault="00CF7FBF" w:rsidP="00B80039">
            <w:pPr>
              <w:spacing w:before="20" w:after="20"/>
              <w:jc w:val="center"/>
              <w:rPr>
                <w:color w:val="000000"/>
                <w:sz w:val="20"/>
              </w:rPr>
            </w:pPr>
            <w:r w:rsidRPr="007C58EA">
              <w:rPr>
                <w:color w:val="000000"/>
                <w:sz w:val="20"/>
              </w:rPr>
              <w:t>26.68</w:t>
            </w:r>
          </w:p>
        </w:tc>
        <w:tc>
          <w:tcPr>
            <w:tcW w:w="3510" w:type="dxa"/>
          </w:tcPr>
          <w:p w14:paraId="4497C0E4" w14:textId="77777777" w:rsidR="00CF7FBF" w:rsidRPr="0073515B" w:rsidRDefault="00CF7FBF" w:rsidP="00B80039">
            <w:pPr>
              <w:spacing w:before="20" w:after="20"/>
              <w:ind w:right="428"/>
              <w:jc w:val="right"/>
              <w:rPr>
                <w:color w:val="000000"/>
                <w:sz w:val="20"/>
              </w:rPr>
            </w:pPr>
          </w:p>
        </w:tc>
      </w:tr>
      <w:bookmarkEnd w:id="42"/>
    </w:tbl>
    <w:p w14:paraId="13312B70" w14:textId="77777777" w:rsidR="00CF7FBF" w:rsidRDefault="00CF7FBF" w:rsidP="003641A2"/>
    <w:p w14:paraId="6BFAF24E" w14:textId="3DF4C328" w:rsidR="00CF7FBF" w:rsidRDefault="00811365" w:rsidP="00CF7FBF">
      <w:pPr>
        <w:rPr>
          <w:b/>
        </w:rPr>
      </w:pPr>
      <w:r>
        <w:rPr>
          <w:b/>
        </w:rPr>
        <w:t xml:space="preserve">Baseline </w:t>
      </w:r>
      <w:r w:rsidR="00CF7FBF">
        <w:rPr>
          <w:b/>
        </w:rPr>
        <w:t>Case In-Situ Fixture Lumens</w:t>
      </w:r>
    </w:p>
    <w:p w14:paraId="152E9A9E" w14:textId="77777777" w:rsidR="00CF7FBF" w:rsidRDefault="00CF7FBF" w:rsidP="00CF7FBF">
      <w:r>
        <w:t xml:space="preserve">A major goal of any lighting measure is to provide similar or improved lighting performance compared to the incumbent technology. One way to compare performance is to compare the total amount of lumens provided to the space for each technology. However, linear fluorescent lamps emit light in all directions, while TLED lamps emit light directionally. So, while linear fluorescent lamps may emit more total lamp lumens than TLEDs, much of their light is directed away from working surfaces. Furthermore, bare lamp performance is not a preferred metric, as it does not account for the performance of the lamp while enclosed in lighting fixtures (“in-situ” performance).  </w:t>
      </w:r>
    </w:p>
    <w:p w14:paraId="37EE51AD" w14:textId="1EABED20" w:rsidR="00CF7FBF" w:rsidRDefault="00CF7FBF" w:rsidP="00101358">
      <w:r>
        <w:t>The US DOE has published several application summaries and detailed reports that can be used to compare the photometric performance of incumbent T8 lamps in fixtures with LED T8 lamps. In these reports, they provide a metric called luminaire efficiency. Luminaire efficiency is the ratio of the total bare lamp lumens and the total lumens the fixture provides to the space, expressed as a percent</w:t>
      </w:r>
      <w:bookmarkStart w:id="44" w:name="_Ref4682945"/>
      <w:r w:rsidR="007C58EA">
        <w:t>.</w:t>
      </w:r>
      <w:r>
        <w:rPr>
          <w:rStyle w:val="FootnoteReference"/>
        </w:rPr>
        <w:footnoteReference w:id="11"/>
      </w:r>
      <w:bookmarkEnd w:id="44"/>
      <w:r>
        <w:t xml:space="preserve"> The metric can be used to compare the in-situ performance of linear fluorescent lamps to new high efficiency TLEDs. An average of in-situ luminaire efficiencies was calculated for linear fluorescent lamps for nine </w:t>
      </w:r>
      <w:r w:rsidRPr="00485A80">
        <w:t>troffers</w:t>
      </w:r>
      <w:r w:rsidR="00485A80" w:rsidRPr="00485A80">
        <w:rPr>
          <w:rFonts w:cstheme="minorHAnsi"/>
          <w:szCs w:val="16"/>
        </w:rPr>
        <w:t xml:space="preserve"> </w:t>
      </w:r>
      <w:r w:rsidR="00485A80" w:rsidRPr="00485A80">
        <w:rPr>
          <w:rStyle w:val="FootnoteReference"/>
        </w:rPr>
        <w:footnoteReference w:id="12"/>
      </w:r>
      <w:r w:rsidRPr="000527D0">
        <w:rPr>
          <w:sz w:val="24"/>
        </w:rPr>
        <w:t xml:space="preserve"> </w:t>
      </w:r>
      <w:r>
        <w:t>and two parking/linear pendant fixtures</w:t>
      </w:r>
      <w:r>
        <w:rPr>
          <w:rStyle w:val="FootnoteReference"/>
        </w:rPr>
        <w:footnoteReference w:id="13"/>
      </w:r>
      <w:r>
        <w:t xml:space="preserve"> from DOE </w:t>
      </w:r>
      <w:proofErr w:type="spellStart"/>
      <w:r>
        <w:t>CALiPER</w:t>
      </w:r>
      <w:proofErr w:type="spellEnd"/>
      <w:r>
        <w:t xml:space="preserve"> reports. Troffer performance was selected </w:t>
      </w:r>
      <w:r>
        <w:lastRenderedPageBreak/>
        <w:t>to represent the performance of non-parking garage measures, as it is the most common linear fluorescent fixture type</w:t>
      </w:r>
      <w:r w:rsidR="00485A80">
        <w:t>.</w:t>
      </w:r>
      <w:r>
        <w:rPr>
          <w:rStyle w:val="FootnoteReference"/>
        </w:rPr>
        <w:footnoteReference w:id="14"/>
      </w:r>
      <w:r>
        <w:t xml:space="preserve"> Using the saturation weighting from </w:t>
      </w:r>
      <w:r w:rsidR="00101358">
        <w:t xml:space="preserve">the “Base Case Wattage Saturation Distribution” table </w:t>
      </w:r>
      <w:r>
        <w:t xml:space="preserve">above, the weighted average fixture lumens for both types of fixtures was calculated. Most </w:t>
      </w:r>
      <w:proofErr w:type="spellStart"/>
      <w:r>
        <w:t>CALiPER</w:t>
      </w:r>
      <w:proofErr w:type="spellEnd"/>
      <w:r>
        <w:t xml:space="preserve"> reports tested 2-lamp </w:t>
      </w:r>
      <w:r w:rsidR="00101358">
        <w:t>fixtures;</w:t>
      </w:r>
      <w:r>
        <w:t xml:space="preserve"> thus</w:t>
      </w:r>
      <w:r w:rsidR="00101358">
        <w:t>,</w:t>
      </w:r>
      <w:r>
        <w:t xml:space="preserve"> this analysis assumes 2-lamp fixtures. </w:t>
      </w:r>
    </w:p>
    <w:p w14:paraId="4CC02F1E" w14:textId="191E4B01" w:rsidR="00CF7FBF" w:rsidRDefault="00CF7FBF">
      <w:pPr>
        <w:pStyle w:val="Caption"/>
      </w:pPr>
      <w:r>
        <w:t>Linear Fluorescent In-Situ Fixture Performance</w:t>
      </w:r>
    </w:p>
    <w:tbl>
      <w:tblPr>
        <w:tblStyle w:val="TableGrid1"/>
        <w:tblW w:w="450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1E0" w:firstRow="1" w:lastRow="1" w:firstColumn="1" w:lastColumn="1" w:noHBand="0" w:noVBand="0"/>
      </w:tblPr>
      <w:tblGrid>
        <w:gridCol w:w="864"/>
        <w:gridCol w:w="1080"/>
        <w:gridCol w:w="1080"/>
        <w:gridCol w:w="1026"/>
        <w:gridCol w:w="1134"/>
        <w:gridCol w:w="1080"/>
        <w:gridCol w:w="1080"/>
        <w:gridCol w:w="1080"/>
      </w:tblGrid>
      <w:tr w:rsidR="00101358" w:rsidRPr="00101358" w14:paraId="67D8589C" w14:textId="77777777" w:rsidTr="00485A80">
        <w:trPr>
          <w:cantSplit/>
          <w:trHeight w:val="20"/>
        </w:trPr>
        <w:tc>
          <w:tcPr>
            <w:tcW w:w="513" w:type="pct"/>
            <w:shd w:val="clear" w:color="auto" w:fill="F2F2F2" w:themeFill="background1" w:themeFillShade="F2"/>
            <w:vAlign w:val="bottom"/>
          </w:tcPr>
          <w:p w14:paraId="03DC6081" w14:textId="77777777" w:rsidR="00CF7FBF" w:rsidRPr="00101358" w:rsidRDefault="00CF7FBF" w:rsidP="00101358">
            <w:pPr>
              <w:spacing w:before="0" w:after="0" w:line="240" w:lineRule="auto"/>
              <w:jc w:val="center"/>
              <w:rPr>
                <w:rFonts w:cstheme="minorHAnsi"/>
                <w:b/>
                <w:sz w:val="20"/>
                <w:highlight w:val="yellow"/>
              </w:rPr>
            </w:pPr>
            <w:r w:rsidRPr="00101358">
              <w:rPr>
                <w:rFonts w:cstheme="minorHAnsi"/>
                <w:b/>
                <w:sz w:val="20"/>
              </w:rPr>
              <w:t>Fixture Type</w:t>
            </w:r>
          </w:p>
        </w:tc>
        <w:tc>
          <w:tcPr>
            <w:tcW w:w="641" w:type="pct"/>
            <w:shd w:val="clear" w:color="auto" w:fill="F2F2F2" w:themeFill="background1" w:themeFillShade="F2"/>
            <w:vAlign w:val="bottom"/>
          </w:tcPr>
          <w:p w14:paraId="386ED6BB" w14:textId="77777777" w:rsidR="00CF7FBF" w:rsidRPr="00101358" w:rsidRDefault="00CF7FBF" w:rsidP="00101358">
            <w:pPr>
              <w:spacing w:before="0" w:after="0" w:line="240" w:lineRule="auto"/>
              <w:jc w:val="center"/>
              <w:rPr>
                <w:rFonts w:cstheme="minorHAnsi"/>
                <w:b/>
                <w:sz w:val="20"/>
              </w:rPr>
            </w:pPr>
            <w:r w:rsidRPr="00101358">
              <w:rPr>
                <w:rFonts w:cstheme="minorHAnsi"/>
                <w:b/>
                <w:sz w:val="20"/>
              </w:rPr>
              <w:t xml:space="preserve">Nominal LF </w:t>
            </w:r>
            <w:r w:rsidRPr="00101358">
              <w:rPr>
                <w:rFonts w:cstheme="minorHAnsi"/>
                <w:b/>
                <w:sz w:val="20"/>
              </w:rPr>
              <w:br/>
              <w:t>(W)</w:t>
            </w:r>
          </w:p>
        </w:tc>
        <w:tc>
          <w:tcPr>
            <w:tcW w:w="641" w:type="pct"/>
            <w:shd w:val="clear" w:color="auto" w:fill="F2F2F2" w:themeFill="background1" w:themeFillShade="F2"/>
            <w:vAlign w:val="bottom"/>
          </w:tcPr>
          <w:p w14:paraId="0F30A1AC" w14:textId="77777777" w:rsidR="00CF7FBF" w:rsidRPr="00101358" w:rsidRDefault="00CF7FBF" w:rsidP="00101358">
            <w:pPr>
              <w:spacing w:before="0" w:after="0" w:line="240" w:lineRule="auto"/>
              <w:jc w:val="center"/>
              <w:rPr>
                <w:rFonts w:cstheme="minorHAnsi"/>
                <w:b/>
                <w:sz w:val="20"/>
              </w:rPr>
            </w:pPr>
            <w:r w:rsidRPr="00101358">
              <w:rPr>
                <w:rFonts w:cstheme="minorHAnsi"/>
                <w:b/>
                <w:sz w:val="20"/>
              </w:rPr>
              <w:t>Lamp Saturation (%)</w:t>
            </w:r>
          </w:p>
        </w:tc>
        <w:tc>
          <w:tcPr>
            <w:tcW w:w="609" w:type="pct"/>
            <w:shd w:val="clear" w:color="auto" w:fill="F2F2F2" w:themeFill="background1" w:themeFillShade="F2"/>
            <w:vAlign w:val="bottom"/>
          </w:tcPr>
          <w:p w14:paraId="57B6FFE0" w14:textId="77777777" w:rsidR="00CF7FBF" w:rsidRPr="00101358" w:rsidRDefault="00CF7FBF" w:rsidP="00101358">
            <w:pPr>
              <w:spacing w:before="0" w:after="0" w:line="240" w:lineRule="auto"/>
              <w:jc w:val="center"/>
              <w:rPr>
                <w:rFonts w:cstheme="minorHAnsi"/>
                <w:b/>
                <w:sz w:val="20"/>
              </w:rPr>
            </w:pPr>
            <w:r w:rsidRPr="00101358">
              <w:rPr>
                <w:rFonts w:cstheme="minorHAnsi"/>
                <w:b/>
                <w:sz w:val="20"/>
              </w:rPr>
              <w:t>Lamp Efficacy (LPW)</w:t>
            </w:r>
            <w:bookmarkStart w:id="46" w:name="_Ref4682047"/>
            <w:r w:rsidRPr="00101358">
              <w:rPr>
                <w:rStyle w:val="FootnoteReference"/>
                <w:rFonts w:cstheme="minorHAnsi"/>
                <w:b/>
                <w:sz w:val="20"/>
              </w:rPr>
              <w:footnoteReference w:id="15"/>
            </w:r>
            <w:bookmarkEnd w:id="46"/>
          </w:p>
        </w:tc>
        <w:tc>
          <w:tcPr>
            <w:tcW w:w="673" w:type="pct"/>
            <w:shd w:val="clear" w:color="auto" w:fill="F2F2F2" w:themeFill="background1" w:themeFillShade="F2"/>
            <w:vAlign w:val="bottom"/>
          </w:tcPr>
          <w:p w14:paraId="22831DA7" w14:textId="1D03281A" w:rsidR="00CF7FBF" w:rsidRPr="00101358" w:rsidRDefault="00CF7FBF" w:rsidP="00101358">
            <w:pPr>
              <w:spacing w:before="0" w:after="0" w:line="240" w:lineRule="auto"/>
              <w:jc w:val="center"/>
              <w:rPr>
                <w:rFonts w:cstheme="minorHAnsi"/>
                <w:b/>
                <w:sz w:val="20"/>
              </w:rPr>
            </w:pPr>
            <w:r w:rsidRPr="00101358">
              <w:rPr>
                <w:rFonts w:cstheme="minorHAnsi"/>
                <w:b/>
                <w:sz w:val="20"/>
              </w:rPr>
              <w:t xml:space="preserve">Bare Lamp Lumens </w:t>
            </w:r>
            <w:r w:rsidR="00101358" w:rsidRPr="00101358">
              <w:rPr>
                <w:rFonts w:cstheme="minorHAnsi"/>
                <w:b/>
                <w:sz w:val="20"/>
              </w:rPr>
              <w:br/>
            </w:r>
            <w:r w:rsidRPr="00101358">
              <w:rPr>
                <w:rFonts w:cstheme="minorHAnsi"/>
                <w:b/>
                <w:sz w:val="20"/>
              </w:rPr>
              <w:t>(2-lamp)</w:t>
            </w:r>
            <w:r w:rsidR="00485A80">
              <w:rPr>
                <w:rFonts w:cstheme="minorHAnsi"/>
                <w:b/>
                <w:sz w:val="20"/>
              </w:rPr>
              <w:t xml:space="preserve"> </w:t>
            </w:r>
            <w:r w:rsidR="00485A80" w:rsidRPr="00485A80">
              <w:rPr>
                <w:rStyle w:val="FootnoteReference"/>
                <w:b/>
                <w:sz w:val="20"/>
              </w:rPr>
              <w:footnoteReference w:id="16"/>
            </w:r>
          </w:p>
        </w:tc>
        <w:tc>
          <w:tcPr>
            <w:tcW w:w="641" w:type="pct"/>
            <w:shd w:val="clear" w:color="auto" w:fill="F2F2F2" w:themeFill="background1" w:themeFillShade="F2"/>
            <w:vAlign w:val="bottom"/>
          </w:tcPr>
          <w:p w14:paraId="1B154B04" w14:textId="77777777" w:rsidR="00CF7FBF" w:rsidRPr="00101358" w:rsidRDefault="00CF7FBF" w:rsidP="00101358">
            <w:pPr>
              <w:spacing w:before="0" w:after="0" w:line="240" w:lineRule="auto"/>
              <w:jc w:val="center"/>
              <w:rPr>
                <w:rFonts w:cstheme="minorHAnsi"/>
                <w:b/>
                <w:sz w:val="20"/>
              </w:rPr>
            </w:pPr>
            <w:r w:rsidRPr="00101358">
              <w:rPr>
                <w:rFonts w:cstheme="minorHAnsi"/>
                <w:b/>
                <w:sz w:val="20"/>
              </w:rPr>
              <w:t>Average Fixture Efficiency</w:t>
            </w:r>
          </w:p>
        </w:tc>
        <w:tc>
          <w:tcPr>
            <w:tcW w:w="641" w:type="pct"/>
            <w:shd w:val="clear" w:color="auto" w:fill="F2F2F2" w:themeFill="background1" w:themeFillShade="F2"/>
            <w:vAlign w:val="bottom"/>
          </w:tcPr>
          <w:p w14:paraId="1AEB8689" w14:textId="77777777" w:rsidR="00CF7FBF" w:rsidRPr="00101358" w:rsidRDefault="00CF7FBF" w:rsidP="00101358">
            <w:pPr>
              <w:spacing w:before="0" w:after="0" w:line="240" w:lineRule="auto"/>
              <w:jc w:val="center"/>
              <w:rPr>
                <w:rFonts w:cstheme="minorHAnsi"/>
                <w:b/>
                <w:sz w:val="20"/>
              </w:rPr>
            </w:pPr>
            <w:r w:rsidRPr="00101358">
              <w:rPr>
                <w:rFonts w:cstheme="minorHAnsi"/>
                <w:b/>
                <w:sz w:val="20"/>
              </w:rPr>
              <w:t>Total Fixture Lumens</w:t>
            </w:r>
          </w:p>
        </w:tc>
        <w:tc>
          <w:tcPr>
            <w:tcW w:w="641" w:type="pct"/>
            <w:shd w:val="clear" w:color="auto" w:fill="F2F2F2" w:themeFill="background1" w:themeFillShade="F2"/>
            <w:vAlign w:val="bottom"/>
          </w:tcPr>
          <w:p w14:paraId="58950471" w14:textId="77777777" w:rsidR="00CF7FBF" w:rsidRPr="00101358" w:rsidRDefault="00CF7FBF" w:rsidP="00101358">
            <w:pPr>
              <w:spacing w:before="0" w:after="0" w:line="240" w:lineRule="auto"/>
              <w:jc w:val="center"/>
              <w:rPr>
                <w:rFonts w:cstheme="minorHAnsi"/>
                <w:b/>
                <w:sz w:val="20"/>
              </w:rPr>
            </w:pPr>
            <w:r w:rsidRPr="00101358">
              <w:rPr>
                <w:rFonts w:cstheme="minorHAnsi"/>
                <w:b/>
                <w:sz w:val="20"/>
              </w:rPr>
              <w:t>Weighted Average Fixture Lumens</w:t>
            </w:r>
          </w:p>
        </w:tc>
      </w:tr>
      <w:tr w:rsidR="00101358" w:rsidRPr="00101358" w14:paraId="32F7B714" w14:textId="77777777" w:rsidTr="00485A80">
        <w:trPr>
          <w:cantSplit/>
          <w:trHeight w:val="20"/>
        </w:trPr>
        <w:tc>
          <w:tcPr>
            <w:tcW w:w="513" w:type="pct"/>
            <w:vMerge w:val="restart"/>
            <w:vAlign w:val="center"/>
          </w:tcPr>
          <w:p w14:paraId="71CC58A6" w14:textId="77777777" w:rsidR="00CF7FBF" w:rsidRPr="00101358" w:rsidRDefault="00CF7FBF" w:rsidP="00101358">
            <w:pPr>
              <w:spacing w:before="0" w:after="0" w:line="240" w:lineRule="auto"/>
              <w:jc w:val="center"/>
              <w:rPr>
                <w:sz w:val="20"/>
              </w:rPr>
            </w:pPr>
            <w:r w:rsidRPr="00101358">
              <w:rPr>
                <w:sz w:val="20"/>
              </w:rPr>
              <w:t>Troffer</w:t>
            </w:r>
          </w:p>
        </w:tc>
        <w:tc>
          <w:tcPr>
            <w:tcW w:w="641" w:type="pct"/>
            <w:vAlign w:val="center"/>
          </w:tcPr>
          <w:p w14:paraId="4771BB6F" w14:textId="77777777" w:rsidR="00CF7FBF" w:rsidRPr="00101358" w:rsidRDefault="00CF7FBF" w:rsidP="00101358">
            <w:pPr>
              <w:spacing w:before="0" w:after="0" w:line="240" w:lineRule="auto"/>
              <w:ind w:right="-18"/>
              <w:jc w:val="center"/>
              <w:rPr>
                <w:color w:val="000000"/>
                <w:sz w:val="20"/>
              </w:rPr>
            </w:pPr>
            <w:r w:rsidRPr="00101358">
              <w:rPr>
                <w:color w:val="000000"/>
                <w:sz w:val="20"/>
              </w:rPr>
              <w:t>28</w:t>
            </w:r>
          </w:p>
        </w:tc>
        <w:tc>
          <w:tcPr>
            <w:tcW w:w="641" w:type="pct"/>
            <w:vAlign w:val="center"/>
          </w:tcPr>
          <w:p w14:paraId="71307726" w14:textId="77777777" w:rsidR="00CF7FBF" w:rsidRPr="00101358" w:rsidRDefault="00CF7FBF" w:rsidP="00101358">
            <w:pPr>
              <w:spacing w:before="0" w:after="0" w:line="240" w:lineRule="auto"/>
              <w:jc w:val="center"/>
              <w:rPr>
                <w:sz w:val="20"/>
              </w:rPr>
            </w:pPr>
            <w:r w:rsidRPr="00101358">
              <w:rPr>
                <w:sz w:val="20"/>
              </w:rPr>
              <w:t>42%</w:t>
            </w:r>
          </w:p>
        </w:tc>
        <w:tc>
          <w:tcPr>
            <w:tcW w:w="609" w:type="pct"/>
            <w:vAlign w:val="center"/>
          </w:tcPr>
          <w:p w14:paraId="6B57E73C" w14:textId="77777777" w:rsidR="00CF7FBF" w:rsidRPr="00101358" w:rsidRDefault="00CF7FBF" w:rsidP="00101358">
            <w:pPr>
              <w:spacing w:before="0" w:after="0" w:line="240" w:lineRule="auto"/>
              <w:jc w:val="center"/>
              <w:rPr>
                <w:sz w:val="20"/>
              </w:rPr>
            </w:pPr>
            <w:r w:rsidRPr="00101358">
              <w:rPr>
                <w:sz w:val="20"/>
              </w:rPr>
              <w:t>90</w:t>
            </w:r>
          </w:p>
        </w:tc>
        <w:tc>
          <w:tcPr>
            <w:tcW w:w="673" w:type="pct"/>
            <w:vAlign w:val="center"/>
          </w:tcPr>
          <w:p w14:paraId="264EE182" w14:textId="77777777" w:rsidR="00CF7FBF" w:rsidRPr="00101358" w:rsidRDefault="00CF7FBF" w:rsidP="00101358">
            <w:pPr>
              <w:spacing w:before="0" w:after="0" w:line="240" w:lineRule="auto"/>
              <w:jc w:val="center"/>
              <w:rPr>
                <w:sz w:val="20"/>
              </w:rPr>
            </w:pPr>
            <w:r w:rsidRPr="00101358">
              <w:rPr>
                <w:sz w:val="20"/>
              </w:rPr>
              <w:t>4,386</w:t>
            </w:r>
          </w:p>
        </w:tc>
        <w:tc>
          <w:tcPr>
            <w:tcW w:w="641" w:type="pct"/>
            <w:vMerge w:val="restart"/>
            <w:vAlign w:val="center"/>
          </w:tcPr>
          <w:p w14:paraId="3B2E03AE" w14:textId="77777777" w:rsidR="00CF7FBF" w:rsidRPr="00101358" w:rsidRDefault="00CF7FBF" w:rsidP="00101358">
            <w:pPr>
              <w:spacing w:before="0" w:after="0" w:line="240" w:lineRule="auto"/>
              <w:jc w:val="center"/>
              <w:rPr>
                <w:sz w:val="20"/>
              </w:rPr>
            </w:pPr>
            <w:r w:rsidRPr="00101358">
              <w:rPr>
                <w:sz w:val="20"/>
              </w:rPr>
              <w:t>73%</w:t>
            </w:r>
          </w:p>
        </w:tc>
        <w:tc>
          <w:tcPr>
            <w:tcW w:w="641" w:type="pct"/>
            <w:vAlign w:val="center"/>
          </w:tcPr>
          <w:p w14:paraId="6F5000AD" w14:textId="77777777" w:rsidR="00CF7FBF" w:rsidRPr="00101358" w:rsidRDefault="00CF7FBF" w:rsidP="00101358">
            <w:pPr>
              <w:spacing w:before="0" w:after="0" w:line="240" w:lineRule="auto"/>
              <w:jc w:val="center"/>
              <w:rPr>
                <w:sz w:val="20"/>
              </w:rPr>
            </w:pPr>
            <w:r w:rsidRPr="00101358">
              <w:rPr>
                <w:sz w:val="20"/>
              </w:rPr>
              <w:t>3,199</w:t>
            </w:r>
          </w:p>
        </w:tc>
        <w:tc>
          <w:tcPr>
            <w:tcW w:w="641" w:type="pct"/>
            <w:vMerge w:val="restart"/>
            <w:vAlign w:val="center"/>
          </w:tcPr>
          <w:p w14:paraId="6B36DE36" w14:textId="77777777" w:rsidR="00CF7FBF" w:rsidRPr="00101358" w:rsidRDefault="00CF7FBF" w:rsidP="00101358">
            <w:pPr>
              <w:spacing w:before="0" w:after="0" w:line="240" w:lineRule="auto"/>
              <w:jc w:val="center"/>
              <w:rPr>
                <w:sz w:val="20"/>
              </w:rPr>
            </w:pPr>
            <w:r w:rsidRPr="00101358">
              <w:rPr>
                <w:sz w:val="20"/>
              </w:rPr>
              <w:t>3,515</w:t>
            </w:r>
          </w:p>
        </w:tc>
      </w:tr>
      <w:tr w:rsidR="00101358" w:rsidRPr="00101358" w14:paraId="7EF5B63D" w14:textId="77777777" w:rsidTr="00485A80">
        <w:trPr>
          <w:cantSplit/>
          <w:trHeight w:val="20"/>
        </w:trPr>
        <w:tc>
          <w:tcPr>
            <w:tcW w:w="513" w:type="pct"/>
            <w:vMerge/>
            <w:vAlign w:val="center"/>
          </w:tcPr>
          <w:p w14:paraId="64373EAC" w14:textId="77777777" w:rsidR="00CF7FBF" w:rsidRPr="00101358" w:rsidRDefault="00CF7FBF" w:rsidP="00101358">
            <w:pPr>
              <w:spacing w:before="0" w:after="0" w:line="240" w:lineRule="auto"/>
              <w:jc w:val="center"/>
              <w:rPr>
                <w:sz w:val="20"/>
              </w:rPr>
            </w:pPr>
          </w:p>
        </w:tc>
        <w:tc>
          <w:tcPr>
            <w:tcW w:w="641" w:type="pct"/>
            <w:vAlign w:val="center"/>
          </w:tcPr>
          <w:p w14:paraId="366C4678" w14:textId="77777777" w:rsidR="00CF7FBF" w:rsidRPr="00101358" w:rsidRDefault="00CF7FBF" w:rsidP="00101358">
            <w:pPr>
              <w:spacing w:before="0" w:after="0" w:line="240" w:lineRule="auto"/>
              <w:ind w:right="-18"/>
              <w:jc w:val="center"/>
              <w:rPr>
                <w:color w:val="000000"/>
                <w:sz w:val="20"/>
              </w:rPr>
            </w:pPr>
            <w:r w:rsidRPr="00101358">
              <w:rPr>
                <w:color w:val="000000"/>
                <w:sz w:val="20"/>
              </w:rPr>
              <w:t>32</w:t>
            </w:r>
          </w:p>
        </w:tc>
        <w:tc>
          <w:tcPr>
            <w:tcW w:w="641" w:type="pct"/>
            <w:vAlign w:val="center"/>
          </w:tcPr>
          <w:p w14:paraId="72D83857" w14:textId="77777777" w:rsidR="00CF7FBF" w:rsidRPr="00101358" w:rsidRDefault="00CF7FBF" w:rsidP="00101358">
            <w:pPr>
              <w:spacing w:before="0" w:after="0" w:line="240" w:lineRule="auto"/>
              <w:jc w:val="center"/>
              <w:rPr>
                <w:sz w:val="20"/>
              </w:rPr>
            </w:pPr>
            <w:r w:rsidRPr="00101358">
              <w:rPr>
                <w:sz w:val="20"/>
              </w:rPr>
              <w:t>58%</w:t>
            </w:r>
          </w:p>
        </w:tc>
        <w:tc>
          <w:tcPr>
            <w:tcW w:w="609" w:type="pct"/>
            <w:vAlign w:val="center"/>
          </w:tcPr>
          <w:p w14:paraId="6BF65E22" w14:textId="77777777" w:rsidR="00CF7FBF" w:rsidRPr="00101358" w:rsidRDefault="00CF7FBF" w:rsidP="00101358">
            <w:pPr>
              <w:spacing w:before="0" w:after="0" w:line="240" w:lineRule="auto"/>
              <w:jc w:val="center"/>
              <w:rPr>
                <w:sz w:val="20"/>
              </w:rPr>
            </w:pPr>
            <w:r w:rsidRPr="00101358">
              <w:rPr>
                <w:sz w:val="20"/>
              </w:rPr>
              <w:t>89</w:t>
            </w:r>
          </w:p>
        </w:tc>
        <w:tc>
          <w:tcPr>
            <w:tcW w:w="673" w:type="pct"/>
            <w:vAlign w:val="center"/>
          </w:tcPr>
          <w:p w14:paraId="65863A5B" w14:textId="77777777" w:rsidR="00CF7FBF" w:rsidRPr="00101358" w:rsidRDefault="00CF7FBF" w:rsidP="00101358">
            <w:pPr>
              <w:spacing w:before="0" w:after="0" w:line="240" w:lineRule="auto"/>
              <w:jc w:val="center"/>
              <w:rPr>
                <w:sz w:val="20"/>
              </w:rPr>
            </w:pPr>
            <w:r w:rsidRPr="00101358">
              <w:rPr>
                <w:sz w:val="20"/>
              </w:rPr>
              <w:t>5,134</w:t>
            </w:r>
          </w:p>
        </w:tc>
        <w:tc>
          <w:tcPr>
            <w:tcW w:w="641" w:type="pct"/>
            <w:vMerge/>
            <w:vAlign w:val="center"/>
          </w:tcPr>
          <w:p w14:paraId="6979A693" w14:textId="77777777" w:rsidR="00CF7FBF" w:rsidRPr="00101358" w:rsidRDefault="00CF7FBF" w:rsidP="00101358">
            <w:pPr>
              <w:spacing w:before="0" w:after="0" w:line="240" w:lineRule="auto"/>
              <w:jc w:val="center"/>
              <w:rPr>
                <w:sz w:val="20"/>
              </w:rPr>
            </w:pPr>
          </w:p>
        </w:tc>
        <w:tc>
          <w:tcPr>
            <w:tcW w:w="641" w:type="pct"/>
            <w:vAlign w:val="center"/>
          </w:tcPr>
          <w:p w14:paraId="7AF8365B" w14:textId="77777777" w:rsidR="00CF7FBF" w:rsidRPr="00101358" w:rsidRDefault="00CF7FBF" w:rsidP="00101358">
            <w:pPr>
              <w:spacing w:before="0" w:after="0" w:line="240" w:lineRule="auto"/>
              <w:jc w:val="center"/>
              <w:rPr>
                <w:sz w:val="20"/>
              </w:rPr>
            </w:pPr>
            <w:r w:rsidRPr="00101358">
              <w:rPr>
                <w:sz w:val="20"/>
              </w:rPr>
              <w:t>3,744</w:t>
            </w:r>
          </w:p>
        </w:tc>
        <w:tc>
          <w:tcPr>
            <w:tcW w:w="641" w:type="pct"/>
            <w:vMerge/>
            <w:vAlign w:val="center"/>
          </w:tcPr>
          <w:p w14:paraId="1F4A42E9" w14:textId="77777777" w:rsidR="00CF7FBF" w:rsidRPr="00101358" w:rsidRDefault="00CF7FBF" w:rsidP="00101358">
            <w:pPr>
              <w:spacing w:before="0" w:after="0" w:line="240" w:lineRule="auto"/>
              <w:jc w:val="center"/>
              <w:rPr>
                <w:sz w:val="20"/>
              </w:rPr>
            </w:pPr>
          </w:p>
        </w:tc>
      </w:tr>
      <w:tr w:rsidR="00101358" w:rsidRPr="00101358" w14:paraId="55181B00" w14:textId="77777777" w:rsidTr="00485A80">
        <w:trPr>
          <w:cantSplit/>
          <w:trHeight w:val="20"/>
        </w:trPr>
        <w:tc>
          <w:tcPr>
            <w:tcW w:w="513" w:type="pct"/>
            <w:vMerge w:val="restart"/>
            <w:vAlign w:val="center"/>
          </w:tcPr>
          <w:p w14:paraId="335D3AF2" w14:textId="77777777" w:rsidR="00CF7FBF" w:rsidRPr="00101358" w:rsidRDefault="00CF7FBF" w:rsidP="00101358">
            <w:pPr>
              <w:spacing w:before="0" w:after="0" w:line="240" w:lineRule="auto"/>
              <w:jc w:val="center"/>
              <w:rPr>
                <w:sz w:val="20"/>
              </w:rPr>
            </w:pPr>
            <w:r w:rsidRPr="00101358">
              <w:rPr>
                <w:sz w:val="20"/>
              </w:rPr>
              <w:t>Parking Fixture</w:t>
            </w:r>
          </w:p>
        </w:tc>
        <w:tc>
          <w:tcPr>
            <w:tcW w:w="641" w:type="pct"/>
            <w:vAlign w:val="center"/>
          </w:tcPr>
          <w:p w14:paraId="1AAB2843" w14:textId="77777777" w:rsidR="00CF7FBF" w:rsidRPr="00101358" w:rsidRDefault="00CF7FBF" w:rsidP="00101358">
            <w:pPr>
              <w:spacing w:before="0" w:after="0" w:line="240" w:lineRule="auto"/>
              <w:ind w:right="-18"/>
              <w:jc w:val="center"/>
              <w:rPr>
                <w:color w:val="000000"/>
                <w:sz w:val="20"/>
              </w:rPr>
            </w:pPr>
            <w:r w:rsidRPr="00101358">
              <w:rPr>
                <w:color w:val="000000"/>
                <w:sz w:val="20"/>
              </w:rPr>
              <w:t>28</w:t>
            </w:r>
          </w:p>
        </w:tc>
        <w:tc>
          <w:tcPr>
            <w:tcW w:w="641" w:type="pct"/>
            <w:vAlign w:val="center"/>
          </w:tcPr>
          <w:p w14:paraId="33345DB8" w14:textId="77777777" w:rsidR="00CF7FBF" w:rsidRPr="00101358" w:rsidRDefault="00CF7FBF" w:rsidP="00101358">
            <w:pPr>
              <w:spacing w:before="0" w:after="0" w:line="240" w:lineRule="auto"/>
              <w:jc w:val="center"/>
              <w:rPr>
                <w:sz w:val="20"/>
              </w:rPr>
            </w:pPr>
            <w:r w:rsidRPr="00101358">
              <w:rPr>
                <w:sz w:val="20"/>
              </w:rPr>
              <w:t>42%</w:t>
            </w:r>
          </w:p>
        </w:tc>
        <w:tc>
          <w:tcPr>
            <w:tcW w:w="609" w:type="pct"/>
            <w:vAlign w:val="center"/>
          </w:tcPr>
          <w:p w14:paraId="7AFC2B57" w14:textId="77777777" w:rsidR="00CF7FBF" w:rsidRPr="00101358" w:rsidRDefault="00CF7FBF" w:rsidP="00101358">
            <w:pPr>
              <w:spacing w:before="0" w:after="0" w:line="240" w:lineRule="auto"/>
              <w:jc w:val="center"/>
              <w:rPr>
                <w:sz w:val="20"/>
              </w:rPr>
            </w:pPr>
            <w:r w:rsidRPr="00101358">
              <w:rPr>
                <w:sz w:val="20"/>
              </w:rPr>
              <w:t>90</w:t>
            </w:r>
          </w:p>
        </w:tc>
        <w:tc>
          <w:tcPr>
            <w:tcW w:w="673" w:type="pct"/>
            <w:vAlign w:val="center"/>
          </w:tcPr>
          <w:p w14:paraId="37179E18" w14:textId="77777777" w:rsidR="00CF7FBF" w:rsidRPr="00101358" w:rsidRDefault="00CF7FBF" w:rsidP="00101358">
            <w:pPr>
              <w:spacing w:before="0" w:after="0" w:line="240" w:lineRule="auto"/>
              <w:jc w:val="center"/>
              <w:rPr>
                <w:sz w:val="20"/>
              </w:rPr>
            </w:pPr>
            <w:r w:rsidRPr="00101358">
              <w:rPr>
                <w:sz w:val="20"/>
              </w:rPr>
              <w:t>4,386</w:t>
            </w:r>
          </w:p>
        </w:tc>
        <w:tc>
          <w:tcPr>
            <w:tcW w:w="641" w:type="pct"/>
            <w:vMerge w:val="restart"/>
            <w:vAlign w:val="center"/>
          </w:tcPr>
          <w:p w14:paraId="2018D15E" w14:textId="77777777" w:rsidR="00CF7FBF" w:rsidRPr="00101358" w:rsidRDefault="00CF7FBF" w:rsidP="00101358">
            <w:pPr>
              <w:spacing w:before="0" w:after="0" w:line="240" w:lineRule="auto"/>
              <w:jc w:val="center"/>
              <w:rPr>
                <w:sz w:val="20"/>
              </w:rPr>
            </w:pPr>
            <w:r w:rsidRPr="00101358">
              <w:rPr>
                <w:sz w:val="20"/>
              </w:rPr>
              <w:t>64%</w:t>
            </w:r>
          </w:p>
        </w:tc>
        <w:tc>
          <w:tcPr>
            <w:tcW w:w="641" w:type="pct"/>
            <w:vAlign w:val="center"/>
          </w:tcPr>
          <w:p w14:paraId="7324C409" w14:textId="77777777" w:rsidR="00CF7FBF" w:rsidRPr="00101358" w:rsidRDefault="00CF7FBF" w:rsidP="00101358">
            <w:pPr>
              <w:spacing w:before="0" w:after="0" w:line="240" w:lineRule="auto"/>
              <w:jc w:val="center"/>
              <w:rPr>
                <w:sz w:val="20"/>
              </w:rPr>
            </w:pPr>
            <w:r w:rsidRPr="00101358">
              <w:rPr>
                <w:sz w:val="20"/>
              </w:rPr>
              <w:t>2,816</w:t>
            </w:r>
          </w:p>
        </w:tc>
        <w:tc>
          <w:tcPr>
            <w:tcW w:w="641" w:type="pct"/>
            <w:vMerge w:val="restart"/>
            <w:vAlign w:val="center"/>
          </w:tcPr>
          <w:p w14:paraId="648172A5" w14:textId="77777777" w:rsidR="00CF7FBF" w:rsidRPr="00101358" w:rsidRDefault="00CF7FBF" w:rsidP="00101358">
            <w:pPr>
              <w:spacing w:before="0" w:after="0" w:line="240" w:lineRule="auto"/>
              <w:jc w:val="center"/>
              <w:rPr>
                <w:sz w:val="20"/>
              </w:rPr>
            </w:pPr>
            <w:r w:rsidRPr="00101358">
              <w:rPr>
                <w:sz w:val="20"/>
              </w:rPr>
              <w:t>3,095</w:t>
            </w:r>
          </w:p>
        </w:tc>
      </w:tr>
      <w:tr w:rsidR="00101358" w:rsidRPr="00101358" w14:paraId="5FF580BE" w14:textId="77777777" w:rsidTr="00485A80">
        <w:trPr>
          <w:cantSplit/>
          <w:trHeight w:val="20"/>
        </w:trPr>
        <w:tc>
          <w:tcPr>
            <w:tcW w:w="513" w:type="pct"/>
            <w:vMerge/>
            <w:vAlign w:val="bottom"/>
          </w:tcPr>
          <w:p w14:paraId="18D0C0E5" w14:textId="77777777" w:rsidR="00CF7FBF" w:rsidRPr="00101358" w:rsidRDefault="00CF7FBF" w:rsidP="00101358">
            <w:pPr>
              <w:keepNext/>
              <w:keepLines/>
              <w:spacing w:before="0" w:after="0" w:line="240" w:lineRule="auto"/>
              <w:jc w:val="center"/>
              <w:rPr>
                <w:sz w:val="20"/>
              </w:rPr>
            </w:pPr>
          </w:p>
        </w:tc>
        <w:tc>
          <w:tcPr>
            <w:tcW w:w="641" w:type="pct"/>
            <w:vAlign w:val="center"/>
          </w:tcPr>
          <w:p w14:paraId="1B84C844" w14:textId="77777777" w:rsidR="00CF7FBF" w:rsidRPr="00101358" w:rsidRDefault="00CF7FBF" w:rsidP="00101358">
            <w:pPr>
              <w:keepNext/>
              <w:keepLines/>
              <w:spacing w:before="0" w:after="0" w:line="240" w:lineRule="auto"/>
              <w:ind w:right="-18"/>
              <w:jc w:val="center"/>
              <w:rPr>
                <w:color w:val="000000"/>
                <w:sz w:val="20"/>
              </w:rPr>
            </w:pPr>
            <w:r w:rsidRPr="00101358">
              <w:rPr>
                <w:color w:val="000000"/>
                <w:sz w:val="20"/>
              </w:rPr>
              <w:t>32</w:t>
            </w:r>
          </w:p>
        </w:tc>
        <w:tc>
          <w:tcPr>
            <w:tcW w:w="641" w:type="pct"/>
            <w:vAlign w:val="center"/>
          </w:tcPr>
          <w:p w14:paraId="50039F96" w14:textId="77777777" w:rsidR="00CF7FBF" w:rsidRPr="00101358" w:rsidRDefault="00CF7FBF" w:rsidP="00101358">
            <w:pPr>
              <w:keepNext/>
              <w:keepLines/>
              <w:spacing w:before="0" w:after="0" w:line="240" w:lineRule="auto"/>
              <w:jc w:val="center"/>
              <w:rPr>
                <w:sz w:val="20"/>
              </w:rPr>
            </w:pPr>
            <w:r w:rsidRPr="00101358">
              <w:rPr>
                <w:sz w:val="20"/>
              </w:rPr>
              <w:t>48%</w:t>
            </w:r>
          </w:p>
        </w:tc>
        <w:tc>
          <w:tcPr>
            <w:tcW w:w="609" w:type="pct"/>
            <w:vAlign w:val="bottom"/>
          </w:tcPr>
          <w:p w14:paraId="360E10E3" w14:textId="77777777" w:rsidR="00CF7FBF" w:rsidRPr="00101358" w:rsidRDefault="00CF7FBF" w:rsidP="00101358">
            <w:pPr>
              <w:keepNext/>
              <w:keepLines/>
              <w:spacing w:before="0" w:after="0" w:line="240" w:lineRule="auto"/>
              <w:jc w:val="center"/>
              <w:rPr>
                <w:sz w:val="20"/>
              </w:rPr>
            </w:pPr>
            <w:r w:rsidRPr="00101358">
              <w:rPr>
                <w:sz w:val="20"/>
              </w:rPr>
              <w:t>89</w:t>
            </w:r>
          </w:p>
        </w:tc>
        <w:tc>
          <w:tcPr>
            <w:tcW w:w="673" w:type="pct"/>
          </w:tcPr>
          <w:p w14:paraId="54AAB4AC" w14:textId="77777777" w:rsidR="00CF7FBF" w:rsidRPr="00101358" w:rsidRDefault="00CF7FBF" w:rsidP="00101358">
            <w:pPr>
              <w:keepNext/>
              <w:keepLines/>
              <w:spacing w:before="0" w:after="0" w:line="240" w:lineRule="auto"/>
              <w:jc w:val="center"/>
              <w:rPr>
                <w:sz w:val="20"/>
              </w:rPr>
            </w:pPr>
            <w:r w:rsidRPr="00101358">
              <w:rPr>
                <w:sz w:val="20"/>
              </w:rPr>
              <w:t>5,134</w:t>
            </w:r>
          </w:p>
        </w:tc>
        <w:tc>
          <w:tcPr>
            <w:tcW w:w="641" w:type="pct"/>
            <w:vMerge/>
          </w:tcPr>
          <w:p w14:paraId="33E20D04" w14:textId="77777777" w:rsidR="00CF7FBF" w:rsidRPr="00101358" w:rsidRDefault="00CF7FBF" w:rsidP="00101358">
            <w:pPr>
              <w:keepNext/>
              <w:keepLines/>
              <w:spacing w:before="0" w:after="0" w:line="240" w:lineRule="auto"/>
              <w:jc w:val="center"/>
              <w:rPr>
                <w:sz w:val="20"/>
              </w:rPr>
            </w:pPr>
          </w:p>
        </w:tc>
        <w:tc>
          <w:tcPr>
            <w:tcW w:w="641" w:type="pct"/>
          </w:tcPr>
          <w:p w14:paraId="021A26D4" w14:textId="77777777" w:rsidR="00CF7FBF" w:rsidRPr="00101358" w:rsidRDefault="00CF7FBF" w:rsidP="00101358">
            <w:pPr>
              <w:keepNext/>
              <w:keepLines/>
              <w:spacing w:before="0" w:after="0" w:line="240" w:lineRule="auto"/>
              <w:jc w:val="center"/>
              <w:rPr>
                <w:sz w:val="20"/>
              </w:rPr>
            </w:pPr>
            <w:r w:rsidRPr="00101358">
              <w:rPr>
                <w:sz w:val="20"/>
              </w:rPr>
              <w:t>3,296</w:t>
            </w:r>
          </w:p>
        </w:tc>
        <w:tc>
          <w:tcPr>
            <w:tcW w:w="641" w:type="pct"/>
            <w:vMerge/>
          </w:tcPr>
          <w:p w14:paraId="4050345C" w14:textId="77777777" w:rsidR="00CF7FBF" w:rsidRPr="00101358" w:rsidRDefault="00CF7FBF" w:rsidP="00101358">
            <w:pPr>
              <w:keepNext/>
              <w:keepLines/>
              <w:spacing w:before="0" w:after="0" w:line="240" w:lineRule="auto"/>
              <w:jc w:val="center"/>
              <w:rPr>
                <w:sz w:val="20"/>
              </w:rPr>
            </w:pPr>
          </w:p>
        </w:tc>
      </w:tr>
    </w:tbl>
    <w:p w14:paraId="6858E944" w14:textId="4A6F3146" w:rsidR="00CF7FBF" w:rsidRDefault="00CF7FBF" w:rsidP="00101358">
      <w:pPr>
        <w:rPr>
          <w:sz w:val="20"/>
          <w:szCs w:val="20"/>
        </w:rPr>
      </w:pPr>
    </w:p>
    <w:p w14:paraId="35F9B34A" w14:textId="77777777" w:rsidR="00CF7FBF" w:rsidRDefault="00CF7FBF" w:rsidP="00101358">
      <w:pPr>
        <w:keepNext/>
        <w:keepLines/>
        <w:rPr>
          <w:b/>
        </w:rPr>
      </w:pPr>
      <w:r>
        <w:rPr>
          <w:b/>
        </w:rPr>
        <w:t>Measure Case In-Situ Fixture Lumens</w:t>
      </w:r>
    </w:p>
    <w:p w14:paraId="48FFAF84" w14:textId="77777777" w:rsidR="002E7C15" w:rsidRDefault="002E7C15" w:rsidP="002E7C15">
      <w:pPr>
        <w:keepNext/>
        <w:keepLines/>
      </w:pPr>
      <w:r>
        <w:t xml:space="preserve">Due to the differing lamp characteristics, T8 and TLED fixture efficiencies differ. TLED in-situ fixture efficiencies were compiled from </w:t>
      </w:r>
      <w:proofErr w:type="spellStart"/>
      <w:r>
        <w:t>CALiPER</w:t>
      </w:r>
      <w:proofErr w:type="spellEnd"/>
      <w:r>
        <w:t xml:space="preserve"> data</w:t>
      </w:r>
      <w:r w:rsidRPr="00101358">
        <w:rPr>
          <w:rFonts w:cstheme="minorHAnsi"/>
          <w:sz w:val="20"/>
        </w:rPr>
        <w:t xml:space="preserve"> </w:t>
      </w:r>
      <w:r w:rsidRPr="00101358">
        <w:rPr>
          <w:rStyle w:val="FootnoteReference"/>
          <w:rFonts w:cstheme="minorHAnsi"/>
          <w:sz w:val="20"/>
        </w:rPr>
        <w:footnoteReference w:id="17"/>
      </w:r>
      <w:r>
        <w:t xml:space="preserve"> for 22 troffer fixtures. </w:t>
      </w:r>
    </w:p>
    <w:p w14:paraId="13FD32EC" w14:textId="77777777" w:rsidR="002E7C15" w:rsidRDefault="002E7C15" w:rsidP="002E7C15">
      <w:r>
        <w:t xml:space="preserve">In-situ parking or linear fixture performance data could not be found for TLEDs from </w:t>
      </w:r>
      <w:proofErr w:type="spellStart"/>
      <w:r>
        <w:t>CALiPER</w:t>
      </w:r>
      <w:proofErr w:type="spellEnd"/>
      <w:r>
        <w:t xml:space="preserve">. However, the T8 </w:t>
      </w:r>
      <w:proofErr w:type="spellStart"/>
      <w:r>
        <w:t>CALiPER</w:t>
      </w:r>
      <w:proofErr w:type="spellEnd"/>
      <w:r>
        <w:t xml:space="preserve"> reports for the two linear parking fixtures show that over 50% of total lamp lumens are provided in the downward direction (0°-180° zone).</w:t>
      </w:r>
      <w:r>
        <w:rPr>
          <w:rStyle w:val="FootnoteReference"/>
        </w:rPr>
        <w:footnoteReference w:id="18"/>
      </w:r>
      <w:r>
        <w:t xml:space="preserve">  Due to lack of parking fixture data, the same difference in fixture efficacy that was found for the T8s and TLEDs in troffer fixtures is used to determine the fixture efficiency of TLEDs in parking garage fixtures. Thus, a 9% increase in fixture efficiency is applied to the T8 parking garage fixture efficiency as measured by Caliper studies noted in the section above.</w:t>
      </w:r>
    </w:p>
    <w:p w14:paraId="4DAAEB74" w14:textId="1122B7E7" w:rsidR="00CF7FBF" w:rsidRDefault="00CF7FBF" w:rsidP="00CF7FBF">
      <w:r>
        <w:lastRenderedPageBreak/>
        <w:t xml:space="preserve">Through an iterative process, using a minimum efficacy of 145 LPW, TLED wattages yielding similar fixture lumens to the base case were selected. Since the performance of TLEDs in troffers and parking garage fixtures differ, different measure case wattages per application were selected. </w:t>
      </w:r>
    </w:p>
    <w:p w14:paraId="31179CA1" w14:textId="5F3E404B" w:rsidR="00CF7FBF" w:rsidRDefault="00CF7FBF">
      <w:pPr>
        <w:pStyle w:val="Caption"/>
      </w:pPr>
      <w:r>
        <w:t>LED In-Situ Fixture Performance</w:t>
      </w:r>
    </w:p>
    <w:tbl>
      <w:tblPr>
        <w:tblStyle w:val="TableGrid1"/>
        <w:tblW w:w="5159"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1008"/>
        <w:gridCol w:w="1081"/>
        <w:gridCol w:w="1081"/>
        <w:gridCol w:w="1080"/>
        <w:gridCol w:w="1080"/>
        <w:gridCol w:w="1080"/>
        <w:gridCol w:w="1080"/>
        <w:gridCol w:w="1080"/>
        <w:gridCol w:w="1077"/>
      </w:tblGrid>
      <w:tr w:rsidR="00101358" w:rsidRPr="0073515B" w14:paraId="02EF6FD9" w14:textId="77777777" w:rsidTr="00345E29">
        <w:trPr>
          <w:cantSplit/>
          <w:trHeight w:val="1025"/>
        </w:trPr>
        <w:tc>
          <w:tcPr>
            <w:tcW w:w="522" w:type="pct"/>
            <w:shd w:val="clear" w:color="auto" w:fill="F2F2F2" w:themeFill="background1" w:themeFillShade="F2"/>
            <w:vAlign w:val="bottom"/>
          </w:tcPr>
          <w:p w14:paraId="71E09E02" w14:textId="77777777" w:rsidR="00CF7FBF" w:rsidRPr="0073515B" w:rsidRDefault="00CF7FBF" w:rsidP="00101358">
            <w:pPr>
              <w:keepNext/>
              <w:keepLines/>
              <w:spacing w:before="0" w:after="0" w:line="240" w:lineRule="auto"/>
              <w:jc w:val="center"/>
              <w:rPr>
                <w:rFonts w:cstheme="minorHAnsi"/>
                <w:b/>
                <w:sz w:val="20"/>
                <w:highlight w:val="yellow"/>
              </w:rPr>
            </w:pPr>
            <w:r>
              <w:rPr>
                <w:rFonts w:cstheme="minorHAnsi"/>
                <w:b/>
                <w:sz w:val="20"/>
              </w:rPr>
              <w:t>Fixture Type</w:t>
            </w:r>
          </w:p>
        </w:tc>
        <w:tc>
          <w:tcPr>
            <w:tcW w:w="560" w:type="pct"/>
            <w:shd w:val="clear" w:color="auto" w:fill="F2F2F2" w:themeFill="background1" w:themeFillShade="F2"/>
            <w:vAlign w:val="bottom"/>
          </w:tcPr>
          <w:p w14:paraId="511AA48B" w14:textId="1F58D43F" w:rsidR="00CF7FBF" w:rsidRPr="00101358" w:rsidRDefault="00AE6684" w:rsidP="00101358">
            <w:pPr>
              <w:keepNext/>
              <w:keepLines/>
              <w:spacing w:before="0" w:after="0" w:line="240" w:lineRule="auto"/>
              <w:jc w:val="center"/>
              <w:rPr>
                <w:rFonts w:cstheme="minorHAnsi"/>
                <w:b/>
                <w:sz w:val="20"/>
              </w:rPr>
            </w:pPr>
            <w:r>
              <w:rPr>
                <w:rFonts w:cstheme="minorHAnsi"/>
                <w:b/>
                <w:sz w:val="20"/>
              </w:rPr>
              <w:t>In</w:t>
            </w:r>
            <w:r w:rsidR="0069288D">
              <w:rPr>
                <w:rFonts w:cstheme="minorHAnsi"/>
                <w:b/>
                <w:sz w:val="20"/>
              </w:rPr>
              <w:t>-Si</w:t>
            </w:r>
            <w:r>
              <w:rPr>
                <w:rFonts w:cstheme="minorHAnsi"/>
                <w:b/>
                <w:sz w:val="20"/>
              </w:rPr>
              <w:t>tu</w:t>
            </w:r>
            <w:r w:rsidRPr="00101358">
              <w:rPr>
                <w:rFonts w:cstheme="minorHAnsi"/>
                <w:b/>
                <w:sz w:val="20"/>
              </w:rPr>
              <w:t xml:space="preserve"> </w:t>
            </w:r>
            <w:r w:rsidR="00CF7FBF" w:rsidRPr="00101358">
              <w:rPr>
                <w:rFonts w:cstheme="minorHAnsi"/>
                <w:b/>
                <w:sz w:val="20"/>
              </w:rPr>
              <w:t xml:space="preserve">LED </w:t>
            </w:r>
            <w:r w:rsidR="00CF7FBF" w:rsidRPr="00101358">
              <w:rPr>
                <w:rFonts w:cstheme="minorHAnsi"/>
                <w:b/>
                <w:sz w:val="20"/>
              </w:rPr>
              <w:br/>
              <w:t>(W)</w:t>
            </w:r>
          </w:p>
        </w:tc>
        <w:tc>
          <w:tcPr>
            <w:tcW w:w="560" w:type="pct"/>
            <w:shd w:val="clear" w:color="auto" w:fill="F2F2F2" w:themeFill="background1" w:themeFillShade="F2"/>
            <w:vAlign w:val="bottom"/>
          </w:tcPr>
          <w:p w14:paraId="06273F0B" w14:textId="77777777" w:rsidR="00CF7FBF" w:rsidRPr="00101358" w:rsidRDefault="00CF7FBF" w:rsidP="00101358">
            <w:pPr>
              <w:keepNext/>
              <w:keepLines/>
              <w:spacing w:before="0" w:after="0" w:line="240" w:lineRule="auto"/>
              <w:jc w:val="center"/>
              <w:rPr>
                <w:rFonts w:cstheme="minorHAnsi"/>
                <w:b/>
                <w:sz w:val="20"/>
              </w:rPr>
            </w:pPr>
            <w:r w:rsidRPr="00101358">
              <w:rPr>
                <w:rFonts w:cstheme="minorHAnsi"/>
                <w:b/>
                <w:sz w:val="20"/>
              </w:rPr>
              <w:t>Lamp Saturation Weight (%)</w:t>
            </w:r>
          </w:p>
        </w:tc>
        <w:tc>
          <w:tcPr>
            <w:tcW w:w="560" w:type="pct"/>
            <w:shd w:val="clear" w:color="auto" w:fill="F2F2F2" w:themeFill="background1" w:themeFillShade="F2"/>
            <w:vAlign w:val="bottom"/>
          </w:tcPr>
          <w:p w14:paraId="2AAA349B" w14:textId="77777777" w:rsidR="00CF7FBF" w:rsidRPr="00101358" w:rsidRDefault="00CF7FBF" w:rsidP="00101358">
            <w:pPr>
              <w:keepNext/>
              <w:keepLines/>
              <w:spacing w:before="0" w:after="0" w:line="240" w:lineRule="auto"/>
              <w:jc w:val="center"/>
              <w:rPr>
                <w:rFonts w:cstheme="minorHAnsi"/>
                <w:b/>
                <w:sz w:val="20"/>
              </w:rPr>
            </w:pPr>
            <w:r w:rsidRPr="00101358">
              <w:rPr>
                <w:rFonts w:cstheme="minorHAnsi"/>
                <w:b/>
                <w:sz w:val="20"/>
              </w:rPr>
              <w:t>Lamp Efficacy (LPW)</w:t>
            </w:r>
          </w:p>
        </w:tc>
        <w:tc>
          <w:tcPr>
            <w:tcW w:w="560" w:type="pct"/>
            <w:shd w:val="clear" w:color="auto" w:fill="F2F2F2" w:themeFill="background1" w:themeFillShade="F2"/>
            <w:vAlign w:val="bottom"/>
          </w:tcPr>
          <w:p w14:paraId="5EB0ED35" w14:textId="10080E5B" w:rsidR="00CF7FBF" w:rsidRPr="00101358" w:rsidRDefault="00CF7FBF" w:rsidP="00101358">
            <w:pPr>
              <w:keepNext/>
              <w:keepLines/>
              <w:spacing w:before="0" w:after="0" w:line="240" w:lineRule="auto"/>
              <w:jc w:val="center"/>
              <w:rPr>
                <w:rFonts w:cstheme="minorHAnsi"/>
                <w:b/>
                <w:sz w:val="20"/>
              </w:rPr>
            </w:pPr>
            <w:r w:rsidRPr="00101358">
              <w:rPr>
                <w:rFonts w:cstheme="minorHAnsi"/>
                <w:b/>
                <w:sz w:val="20"/>
              </w:rPr>
              <w:t xml:space="preserve">Bare Lamp Lumens </w:t>
            </w:r>
            <w:r w:rsidR="00101358" w:rsidRPr="00101358">
              <w:rPr>
                <w:rFonts w:cstheme="minorHAnsi"/>
                <w:b/>
                <w:sz w:val="20"/>
              </w:rPr>
              <w:br/>
            </w:r>
            <w:r w:rsidRPr="00101358">
              <w:rPr>
                <w:rFonts w:cstheme="minorHAnsi"/>
                <w:b/>
                <w:sz w:val="20"/>
              </w:rPr>
              <w:t>(2-lamps)</w:t>
            </w:r>
          </w:p>
        </w:tc>
        <w:tc>
          <w:tcPr>
            <w:tcW w:w="560" w:type="pct"/>
            <w:shd w:val="clear" w:color="auto" w:fill="F2F2F2" w:themeFill="background1" w:themeFillShade="F2"/>
            <w:vAlign w:val="bottom"/>
          </w:tcPr>
          <w:p w14:paraId="4488EE5C" w14:textId="77777777" w:rsidR="00CF7FBF" w:rsidRPr="00101358" w:rsidRDefault="00CF7FBF" w:rsidP="00101358">
            <w:pPr>
              <w:keepNext/>
              <w:keepLines/>
              <w:spacing w:before="0" w:after="0" w:line="240" w:lineRule="auto"/>
              <w:jc w:val="center"/>
              <w:rPr>
                <w:rFonts w:cstheme="minorHAnsi"/>
                <w:b/>
                <w:sz w:val="20"/>
              </w:rPr>
            </w:pPr>
            <w:r w:rsidRPr="00101358">
              <w:rPr>
                <w:rFonts w:cstheme="minorHAnsi"/>
                <w:b/>
                <w:sz w:val="20"/>
              </w:rPr>
              <w:t>Fixture Efficiency</w:t>
            </w:r>
          </w:p>
        </w:tc>
        <w:tc>
          <w:tcPr>
            <w:tcW w:w="560" w:type="pct"/>
            <w:shd w:val="clear" w:color="auto" w:fill="F2F2F2" w:themeFill="background1" w:themeFillShade="F2"/>
            <w:vAlign w:val="bottom"/>
          </w:tcPr>
          <w:p w14:paraId="542D0CAC" w14:textId="77777777" w:rsidR="00CF7FBF" w:rsidRPr="00101358" w:rsidRDefault="00CF7FBF" w:rsidP="00101358">
            <w:pPr>
              <w:keepNext/>
              <w:keepLines/>
              <w:spacing w:before="0" w:after="0" w:line="240" w:lineRule="auto"/>
              <w:jc w:val="center"/>
              <w:rPr>
                <w:rFonts w:cstheme="minorHAnsi"/>
                <w:b/>
                <w:sz w:val="20"/>
              </w:rPr>
            </w:pPr>
            <w:r w:rsidRPr="00101358">
              <w:rPr>
                <w:rFonts w:cstheme="minorHAnsi"/>
                <w:b/>
                <w:sz w:val="20"/>
              </w:rPr>
              <w:t>Total Fixture Lumens</w:t>
            </w:r>
          </w:p>
        </w:tc>
        <w:tc>
          <w:tcPr>
            <w:tcW w:w="560" w:type="pct"/>
            <w:shd w:val="clear" w:color="auto" w:fill="F2F2F2" w:themeFill="background1" w:themeFillShade="F2"/>
            <w:vAlign w:val="bottom"/>
          </w:tcPr>
          <w:p w14:paraId="5F4C06BD" w14:textId="77777777" w:rsidR="00CF7FBF" w:rsidRPr="00101358" w:rsidRDefault="00CF7FBF" w:rsidP="00101358">
            <w:pPr>
              <w:keepNext/>
              <w:keepLines/>
              <w:spacing w:before="0" w:after="0" w:line="240" w:lineRule="auto"/>
              <w:jc w:val="center"/>
              <w:rPr>
                <w:rFonts w:cstheme="minorHAnsi"/>
                <w:b/>
                <w:sz w:val="20"/>
              </w:rPr>
            </w:pPr>
            <w:r w:rsidRPr="00101358">
              <w:rPr>
                <w:rFonts w:cstheme="minorHAnsi"/>
                <w:b/>
                <w:sz w:val="20"/>
              </w:rPr>
              <w:t>Weighted Average Fixture Lumens</w:t>
            </w:r>
          </w:p>
        </w:tc>
        <w:tc>
          <w:tcPr>
            <w:tcW w:w="560" w:type="pct"/>
            <w:shd w:val="clear" w:color="auto" w:fill="F2F2F2" w:themeFill="background1" w:themeFillShade="F2"/>
            <w:vAlign w:val="bottom"/>
          </w:tcPr>
          <w:p w14:paraId="02AB5BDA" w14:textId="77777777" w:rsidR="00CF7FBF" w:rsidRPr="00101358" w:rsidRDefault="00CF7FBF" w:rsidP="00101358">
            <w:pPr>
              <w:keepNext/>
              <w:keepLines/>
              <w:spacing w:before="0" w:after="0" w:line="240" w:lineRule="auto"/>
              <w:jc w:val="center"/>
              <w:rPr>
                <w:rFonts w:cstheme="minorHAnsi"/>
                <w:b/>
                <w:sz w:val="20"/>
              </w:rPr>
            </w:pPr>
            <w:r w:rsidRPr="00101358">
              <w:rPr>
                <w:rFonts w:cstheme="minorHAnsi"/>
                <w:b/>
                <w:sz w:val="20"/>
              </w:rPr>
              <w:t>Percent Difference from T8 (%)</w:t>
            </w:r>
          </w:p>
        </w:tc>
      </w:tr>
      <w:tr w:rsidR="00101358" w:rsidRPr="0073515B" w14:paraId="08B174B7" w14:textId="77777777" w:rsidTr="00101358">
        <w:trPr>
          <w:cantSplit/>
          <w:trHeight w:val="20"/>
        </w:trPr>
        <w:tc>
          <w:tcPr>
            <w:tcW w:w="522" w:type="pct"/>
            <w:vMerge w:val="restart"/>
            <w:vAlign w:val="center"/>
          </w:tcPr>
          <w:p w14:paraId="36A28D69" w14:textId="77777777" w:rsidR="00CF7FBF" w:rsidRPr="0073515B" w:rsidRDefault="00CF7FBF" w:rsidP="00101358">
            <w:pPr>
              <w:keepNext/>
              <w:keepLines/>
              <w:spacing w:before="0" w:after="0" w:line="240" w:lineRule="auto"/>
              <w:jc w:val="center"/>
              <w:rPr>
                <w:sz w:val="20"/>
              </w:rPr>
            </w:pPr>
            <w:r>
              <w:rPr>
                <w:sz w:val="20"/>
              </w:rPr>
              <w:t>Troffer</w:t>
            </w:r>
          </w:p>
        </w:tc>
        <w:tc>
          <w:tcPr>
            <w:tcW w:w="560" w:type="pct"/>
            <w:vAlign w:val="center"/>
          </w:tcPr>
          <w:p w14:paraId="1517BAC0" w14:textId="1AC10BB5" w:rsidR="00CF7FBF" w:rsidRPr="00101358" w:rsidRDefault="00CF7FBF" w:rsidP="00101358">
            <w:pPr>
              <w:keepNext/>
              <w:keepLines/>
              <w:spacing w:before="0" w:after="0" w:line="240" w:lineRule="auto"/>
              <w:ind w:right="54"/>
              <w:jc w:val="center"/>
              <w:rPr>
                <w:color w:val="000000"/>
                <w:sz w:val="20"/>
              </w:rPr>
            </w:pPr>
            <w:r w:rsidRPr="00101358">
              <w:rPr>
                <w:color w:val="000000"/>
                <w:sz w:val="20"/>
              </w:rPr>
              <w:t>14</w:t>
            </w:r>
            <w:r w:rsidR="00AE6684">
              <w:rPr>
                <w:color w:val="000000"/>
                <w:sz w:val="20"/>
              </w:rPr>
              <w:t>.00</w:t>
            </w:r>
          </w:p>
        </w:tc>
        <w:tc>
          <w:tcPr>
            <w:tcW w:w="560" w:type="pct"/>
            <w:vAlign w:val="center"/>
          </w:tcPr>
          <w:p w14:paraId="4A642021" w14:textId="77777777" w:rsidR="00CF7FBF" w:rsidRPr="00101358" w:rsidRDefault="00CF7FBF" w:rsidP="00101358">
            <w:pPr>
              <w:keepNext/>
              <w:keepLines/>
              <w:spacing w:before="0" w:after="0" w:line="240" w:lineRule="auto"/>
              <w:jc w:val="center"/>
              <w:rPr>
                <w:sz w:val="20"/>
              </w:rPr>
            </w:pPr>
            <w:r w:rsidRPr="00101358">
              <w:rPr>
                <w:sz w:val="20"/>
              </w:rPr>
              <w:t>42%</w:t>
            </w:r>
          </w:p>
        </w:tc>
        <w:tc>
          <w:tcPr>
            <w:tcW w:w="560" w:type="pct"/>
            <w:vAlign w:val="center"/>
          </w:tcPr>
          <w:p w14:paraId="7E317DA8" w14:textId="77777777" w:rsidR="00CF7FBF" w:rsidRPr="00101358" w:rsidRDefault="00CF7FBF" w:rsidP="00101358">
            <w:pPr>
              <w:keepNext/>
              <w:keepLines/>
              <w:spacing w:before="0" w:after="0" w:line="240" w:lineRule="auto"/>
              <w:jc w:val="center"/>
              <w:rPr>
                <w:sz w:val="20"/>
              </w:rPr>
            </w:pPr>
            <w:r w:rsidRPr="00101358">
              <w:rPr>
                <w:sz w:val="20"/>
              </w:rPr>
              <w:t>145</w:t>
            </w:r>
          </w:p>
        </w:tc>
        <w:tc>
          <w:tcPr>
            <w:tcW w:w="560" w:type="pct"/>
          </w:tcPr>
          <w:p w14:paraId="4BAE96E8" w14:textId="77777777" w:rsidR="00CF7FBF" w:rsidRPr="00101358" w:rsidRDefault="00CF7FBF" w:rsidP="00101358">
            <w:pPr>
              <w:keepNext/>
              <w:keepLines/>
              <w:spacing w:before="0" w:after="0" w:line="240" w:lineRule="auto"/>
              <w:jc w:val="center"/>
              <w:rPr>
                <w:sz w:val="20"/>
              </w:rPr>
            </w:pPr>
            <w:r w:rsidRPr="00101358">
              <w:rPr>
                <w:sz w:val="20"/>
              </w:rPr>
              <w:t>4,060</w:t>
            </w:r>
          </w:p>
        </w:tc>
        <w:tc>
          <w:tcPr>
            <w:tcW w:w="560" w:type="pct"/>
            <w:vMerge w:val="restart"/>
            <w:vAlign w:val="center"/>
          </w:tcPr>
          <w:p w14:paraId="03E02C4F" w14:textId="77777777" w:rsidR="00CF7FBF" w:rsidRPr="00101358" w:rsidRDefault="00CF7FBF" w:rsidP="00101358">
            <w:pPr>
              <w:keepNext/>
              <w:keepLines/>
              <w:spacing w:before="0" w:after="0" w:line="240" w:lineRule="auto"/>
              <w:jc w:val="center"/>
              <w:rPr>
                <w:sz w:val="20"/>
              </w:rPr>
            </w:pPr>
            <w:r w:rsidRPr="00101358">
              <w:rPr>
                <w:sz w:val="20"/>
              </w:rPr>
              <w:t>82%</w:t>
            </w:r>
          </w:p>
        </w:tc>
        <w:tc>
          <w:tcPr>
            <w:tcW w:w="560" w:type="pct"/>
          </w:tcPr>
          <w:p w14:paraId="4A108700" w14:textId="77777777" w:rsidR="00CF7FBF" w:rsidRPr="00101358" w:rsidRDefault="00CF7FBF" w:rsidP="00101358">
            <w:pPr>
              <w:keepNext/>
              <w:keepLines/>
              <w:spacing w:before="0" w:after="0" w:line="240" w:lineRule="auto"/>
              <w:jc w:val="center"/>
              <w:rPr>
                <w:sz w:val="20"/>
              </w:rPr>
            </w:pPr>
            <w:r w:rsidRPr="00101358">
              <w:rPr>
                <w:sz w:val="20"/>
              </w:rPr>
              <w:t>3,331</w:t>
            </w:r>
          </w:p>
        </w:tc>
        <w:tc>
          <w:tcPr>
            <w:tcW w:w="560" w:type="pct"/>
            <w:vMerge w:val="restart"/>
            <w:vAlign w:val="center"/>
          </w:tcPr>
          <w:p w14:paraId="7717DC98" w14:textId="77777777" w:rsidR="00CF7FBF" w:rsidRPr="00101358" w:rsidRDefault="00CF7FBF" w:rsidP="00101358">
            <w:pPr>
              <w:keepNext/>
              <w:keepLines/>
              <w:spacing w:before="0" w:after="0" w:line="240" w:lineRule="auto"/>
              <w:jc w:val="center"/>
              <w:rPr>
                <w:sz w:val="20"/>
              </w:rPr>
            </w:pPr>
            <w:r w:rsidRPr="00101358">
              <w:rPr>
                <w:sz w:val="20"/>
              </w:rPr>
              <w:t>3,469</w:t>
            </w:r>
          </w:p>
        </w:tc>
        <w:tc>
          <w:tcPr>
            <w:tcW w:w="560" w:type="pct"/>
            <w:vMerge w:val="restart"/>
            <w:vAlign w:val="center"/>
          </w:tcPr>
          <w:p w14:paraId="6976AC00" w14:textId="77777777" w:rsidR="00CF7FBF" w:rsidRPr="00101358" w:rsidRDefault="00CF7FBF" w:rsidP="00101358">
            <w:pPr>
              <w:keepNext/>
              <w:keepLines/>
              <w:spacing w:before="0" w:after="0" w:line="240" w:lineRule="auto"/>
              <w:jc w:val="center"/>
              <w:rPr>
                <w:sz w:val="20"/>
              </w:rPr>
            </w:pPr>
            <w:r w:rsidRPr="00101358">
              <w:rPr>
                <w:sz w:val="20"/>
              </w:rPr>
              <w:t>-1.3%</w:t>
            </w:r>
          </w:p>
        </w:tc>
      </w:tr>
      <w:tr w:rsidR="00101358" w:rsidRPr="0073515B" w14:paraId="0128B36D" w14:textId="77777777" w:rsidTr="00101358">
        <w:trPr>
          <w:cantSplit/>
          <w:trHeight w:val="20"/>
        </w:trPr>
        <w:tc>
          <w:tcPr>
            <w:tcW w:w="522" w:type="pct"/>
            <w:vMerge/>
            <w:vAlign w:val="center"/>
          </w:tcPr>
          <w:p w14:paraId="1AD7357F" w14:textId="77777777" w:rsidR="00CF7FBF" w:rsidRPr="0073515B" w:rsidRDefault="00CF7FBF" w:rsidP="00101358">
            <w:pPr>
              <w:keepNext/>
              <w:keepLines/>
              <w:spacing w:before="0" w:after="0" w:line="240" w:lineRule="auto"/>
              <w:jc w:val="center"/>
              <w:rPr>
                <w:sz w:val="20"/>
              </w:rPr>
            </w:pPr>
          </w:p>
        </w:tc>
        <w:tc>
          <w:tcPr>
            <w:tcW w:w="560" w:type="pct"/>
            <w:vAlign w:val="center"/>
          </w:tcPr>
          <w:p w14:paraId="4D2C18A3" w14:textId="3E47F6AB" w:rsidR="00CF7FBF" w:rsidRPr="00101358" w:rsidRDefault="00CF7FBF" w:rsidP="00101358">
            <w:pPr>
              <w:keepNext/>
              <w:keepLines/>
              <w:spacing w:before="0" w:after="0" w:line="240" w:lineRule="auto"/>
              <w:ind w:right="54"/>
              <w:jc w:val="center"/>
              <w:rPr>
                <w:color w:val="000000"/>
                <w:sz w:val="20"/>
              </w:rPr>
            </w:pPr>
            <w:r w:rsidRPr="00101358">
              <w:rPr>
                <w:color w:val="000000"/>
                <w:sz w:val="20"/>
              </w:rPr>
              <w:t>15</w:t>
            </w:r>
            <w:r w:rsidR="00AE6684">
              <w:rPr>
                <w:color w:val="000000"/>
                <w:sz w:val="20"/>
              </w:rPr>
              <w:t>.00</w:t>
            </w:r>
          </w:p>
        </w:tc>
        <w:tc>
          <w:tcPr>
            <w:tcW w:w="560" w:type="pct"/>
            <w:vAlign w:val="center"/>
          </w:tcPr>
          <w:p w14:paraId="2FB9F457" w14:textId="77777777" w:rsidR="00CF7FBF" w:rsidRPr="00101358" w:rsidRDefault="00CF7FBF" w:rsidP="00101358">
            <w:pPr>
              <w:keepNext/>
              <w:keepLines/>
              <w:spacing w:before="0" w:after="0" w:line="240" w:lineRule="auto"/>
              <w:jc w:val="center"/>
              <w:rPr>
                <w:sz w:val="20"/>
              </w:rPr>
            </w:pPr>
            <w:r w:rsidRPr="00101358">
              <w:rPr>
                <w:sz w:val="20"/>
              </w:rPr>
              <w:t>58%</w:t>
            </w:r>
          </w:p>
        </w:tc>
        <w:tc>
          <w:tcPr>
            <w:tcW w:w="560" w:type="pct"/>
            <w:vAlign w:val="center"/>
          </w:tcPr>
          <w:p w14:paraId="0BDF8041" w14:textId="77777777" w:rsidR="00CF7FBF" w:rsidRPr="00101358" w:rsidRDefault="00CF7FBF" w:rsidP="00101358">
            <w:pPr>
              <w:keepNext/>
              <w:keepLines/>
              <w:spacing w:before="0" w:after="0" w:line="240" w:lineRule="auto"/>
              <w:jc w:val="center"/>
              <w:rPr>
                <w:sz w:val="20"/>
              </w:rPr>
            </w:pPr>
            <w:r w:rsidRPr="00101358">
              <w:rPr>
                <w:sz w:val="20"/>
              </w:rPr>
              <w:t>145</w:t>
            </w:r>
          </w:p>
        </w:tc>
        <w:tc>
          <w:tcPr>
            <w:tcW w:w="560" w:type="pct"/>
          </w:tcPr>
          <w:p w14:paraId="1847FE81" w14:textId="77777777" w:rsidR="00CF7FBF" w:rsidRPr="00101358" w:rsidRDefault="00CF7FBF" w:rsidP="00101358">
            <w:pPr>
              <w:keepNext/>
              <w:keepLines/>
              <w:spacing w:before="0" w:after="0" w:line="240" w:lineRule="auto"/>
              <w:jc w:val="center"/>
              <w:rPr>
                <w:sz w:val="20"/>
              </w:rPr>
            </w:pPr>
            <w:r w:rsidRPr="00101358">
              <w:rPr>
                <w:sz w:val="20"/>
              </w:rPr>
              <w:t>4,350</w:t>
            </w:r>
          </w:p>
        </w:tc>
        <w:tc>
          <w:tcPr>
            <w:tcW w:w="560" w:type="pct"/>
            <w:vMerge/>
            <w:vAlign w:val="center"/>
          </w:tcPr>
          <w:p w14:paraId="1CFB59E1" w14:textId="77777777" w:rsidR="00CF7FBF" w:rsidRPr="00101358" w:rsidRDefault="00CF7FBF" w:rsidP="00101358">
            <w:pPr>
              <w:keepNext/>
              <w:keepLines/>
              <w:spacing w:before="0" w:after="0" w:line="240" w:lineRule="auto"/>
              <w:jc w:val="center"/>
              <w:rPr>
                <w:sz w:val="20"/>
              </w:rPr>
            </w:pPr>
          </w:p>
        </w:tc>
        <w:tc>
          <w:tcPr>
            <w:tcW w:w="560" w:type="pct"/>
          </w:tcPr>
          <w:p w14:paraId="71B3DD5C" w14:textId="77777777" w:rsidR="00CF7FBF" w:rsidRPr="00101358" w:rsidRDefault="00CF7FBF" w:rsidP="00101358">
            <w:pPr>
              <w:keepNext/>
              <w:keepLines/>
              <w:spacing w:before="0" w:after="0" w:line="240" w:lineRule="auto"/>
              <w:jc w:val="center"/>
              <w:rPr>
                <w:sz w:val="20"/>
              </w:rPr>
            </w:pPr>
            <w:r w:rsidRPr="00101358">
              <w:rPr>
                <w:sz w:val="20"/>
              </w:rPr>
              <w:t>3,569</w:t>
            </w:r>
          </w:p>
        </w:tc>
        <w:tc>
          <w:tcPr>
            <w:tcW w:w="560" w:type="pct"/>
            <w:vMerge/>
            <w:vAlign w:val="center"/>
          </w:tcPr>
          <w:p w14:paraId="1C3FFD59" w14:textId="77777777" w:rsidR="00CF7FBF" w:rsidRPr="00101358" w:rsidRDefault="00CF7FBF" w:rsidP="00101358">
            <w:pPr>
              <w:keepNext/>
              <w:keepLines/>
              <w:spacing w:before="0" w:after="0" w:line="240" w:lineRule="auto"/>
              <w:jc w:val="center"/>
              <w:rPr>
                <w:sz w:val="20"/>
              </w:rPr>
            </w:pPr>
          </w:p>
        </w:tc>
        <w:tc>
          <w:tcPr>
            <w:tcW w:w="560" w:type="pct"/>
            <w:vMerge/>
            <w:vAlign w:val="center"/>
          </w:tcPr>
          <w:p w14:paraId="5DE6FA99" w14:textId="77777777" w:rsidR="00CF7FBF" w:rsidRPr="00101358" w:rsidRDefault="00CF7FBF" w:rsidP="00101358">
            <w:pPr>
              <w:keepNext/>
              <w:keepLines/>
              <w:spacing w:before="0" w:after="0" w:line="240" w:lineRule="auto"/>
              <w:jc w:val="center"/>
              <w:rPr>
                <w:sz w:val="20"/>
              </w:rPr>
            </w:pPr>
          </w:p>
        </w:tc>
      </w:tr>
      <w:tr w:rsidR="00101358" w:rsidRPr="0073515B" w14:paraId="4E1BB0C7" w14:textId="77777777" w:rsidTr="00101358">
        <w:trPr>
          <w:cantSplit/>
          <w:trHeight w:val="20"/>
        </w:trPr>
        <w:tc>
          <w:tcPr>
            <w:tcW w:w="522" w:type="pct"/>
            <w:vMerge w:val="restart"/>
            <w:vAlign w:val="center"/>
          </w:tcPr>
          <w:p w14:paraId="11780909" w14:textId="77777777" w:rsidR="00CF7FBF" w:rsidRPr="0073515B" w:rsidRDefault="00CF7FBF" w:rsidP="00101358">
            <w:pPr>
              <w:keepNext/>
              <w:keepLines/>
              <w:spacing w:before="0" w:after="0" w:line="240" w:lineRule="auto"/>
              <w:jc w:val="center"/>
              <w:rPr>
                <w:sz w:val="20"/>
              </w:rPr>
            </w:pPr>
            <w:r>
              <w:rPr>
                <w:sz w:val="20"/>
              </w:rPr>
              <w:t>Parking Fixture</w:t>
            </w:r>
          </w:p>
        </w:tc>
        <w:tc>
          <w:tcPr>
            <w:tcW w:w="560" w:type="pct"/>
            <w:vAlign w:val="center"/>
          </w:tcPr>
          <w:p w14:paraId="44FF46BB" w14:textId="7E0021CF" w:rsidR="00CF7FBF" w:rsidRPr="00101358" w:rsidRDefault="0046345D" w:rsidP="00101358">
            <w:pPr>
              <w:keepNext/>
              <w:keepLines/>
              <w:spacing w:before="0" w:after="0" w:line="240" w:lineRule="auto"/>
              <w:ind w:right="54"/>
              <w:jc w:val="center"/>
              <w:rPr>
                <w:color w:val="000000"/>
                <w:sz w:val="20"/>
              </w:rPr>
            </w:pPr>
            <w:r>
              <w:rPr>
                <w:color w:val="000000"/>
                <w:sz w:val="20"/>
              </w:rPr>
              <w:t>14.25</w:t>
            </w:r>
          </w:p>
        </w:tc>
        <w:tc>
          <w:tcPr>
            <w:tcW w:w="560" w:type="pct"/>
            <w:vAlign w:val="center"/>
          </w:tcPr>
          <w:p w14:paraId="10495C93" w14:textId="77777777" w:rsidR="00CF7FBF" w:rsidRPr="00101358" w:rsidRDefault="00CF7FBF" w:rsidP="00101358">
            <w:pPr>
              <w:keepNext/>
              <w:keepLines/>
              <w:spacing w:before="0" w:after="0" w:line="240" w:lineRule="auto"/>
              <w:jc w:val="center"/>
              <w:rPr>
                <w:sz w:val="20"/>
              </w:rPr>
            </w:pPr>
            <w:r w:rsidRPr="00101358">
              <w:rPr>
                <w:sz w:val="20"/>
              </w:rPr>
              <w:t>42%</w:t>
            </w:r>
          </w:p>
        </w:tc>
        <w:tc>
          <w:tcPr>
            <w:tcW w:w="560" w:type="pct"/>
          </w:tcPr>
          <w:p w14:paraId="69712D18" w14:textId="77777777" w:rsidR="00CF7FBF" w:rsidRPr="00101358" w:rsidRDefault="00CF7FBF" w:rsidP="00101358">
            <w:pPr>
              <w:keepNext/>
              <w:keepLines/>
              <w:spacing w:before="0" w:after="0" w:line="240" w:lineRule="auto"/>
              <w:jc w:val="center"/>
              <w:rPr>
                <w:sz w:val="20"/>
              </w:rPr>
            </w:pPr>
            <w:r w:rsidRPr="00101358">
              <w:rPr>
                <w:sz w:val="20"/>
              </w:rPr>
              <w:t>145</w:t>
            </w:r>
          </w:p>
        </w:tc>
        <w:tc>
          <w:tcPr>
            <w:tcW w:w="560" w:type="pct"/>
          </w:tcPr>
          <w:p w14:paraId="35DBECAD" w14:textId="4F6B6ED0" w:rsidR="00CF7FBF" w:rsidRPr="00101358" w:rsidRDefault="0046345D" w:rsidP="00101358">
            <w:pPr>
              <w:keepNext/>
              <w:keepLines/>
              <w:spacing w:before="0" w:after="0" w:line="240" w:lineRule="auto"/>
              <w:jc w:val="center"/>
              <w:rPr>
                <w:sz w:val="20"/>
              </w:rPr>
            </w:pPr>
            <w:r>
              <w:rPr>
                <w:sz w:val="20"/>
              </w:rPr>
              <w:t>4,133</w:t>
            </w:r>
          </w:p>
        </w:tc>
        <w:tc>
          <w:tcPr>
            <w:tcW w:w="560" w:type="pct"/>
            <w:vMerge w:val="restart"/>
            <w:vAlign w:val="center"/>
          </w:tcPr>
          <w:p w14:paraId="51138575" w14:textId="701CA5B1" w:rsidR="00CF7FBF" w:rsidRPr="00101358" w:rsidRDefault="0046345D" w:rsidP="00101358">
            <w:pPr>
              <w:keepNext/>
              <w:keepLines/>
              <w:spacing w:before="0" w:after="0" w:line="240" w:lineRule="auto"/>
              <w:jc w:val="center"/>
              <w:rPr>
                <w:sz w:val="20"/>
              </w:rPr>
            </w:pPr>
            <w:r>
              <w:rPr>
                <w:sz w:val="20"/>
              </w:rPr>
              <w:t>73</w:t>
            </w:r>
            <w:r w:rsidR="00CF7FBF" w:rsidRPr="00101358">
              <w:rPr>
                <w:sz w:val="20"/>
              </w:rPr>
              <w:t>%</w:t>
            </w:r>
          </w:p>
        </w:tc>
        <w:tc>
          <w:tcPr>
            <w:tcW w:w="560" w:type="pct"/>
          </w:tcPr>
          <w:p w14:paraId="74F3C6D2" w14:textId="5C67C97A" w:rsidR="00CF7FBF" w:rsidRPr="00101358" w:rsidRDefault="0046345D" w:rsidP="00101358">
            <w:pPr>
              <w:keepNext/>
              <w:keepLines/>
              <w:spacing w:before="0" w:after="0" w:line="240" w:lineRule="auto"/>
              <w:jc w:val="center"/>
              <w:rPr>
                <w:sz w:val="20"/>
              </w:rPr>
            </w:pPr>
            <w:r>
              <w:rPr>
                <w:sz w:val="20"/>
              </w:rPr>
              <w:t>3,030</w:t>
            </w:r>
          </w:p>
        </w:tc>
        <w:tc>
          <w:tcPr>
            <w:tcW w:w="560" w:type="pct"/>
            <w:vMerge w:val="restart"/>
            <w:vAlign w:val="center"/>
          </w:tcPr>
          <w:p w14:paraId="471F6704" w14:textId="6A69AB46" w:rsidR="00CF7FBF" w:rsidRPr="00101358" w:rsidRDefault="0046345D" w:rsidP="00101358">
            <w:pPr>
              <w:keepNext/>
              <w:keepLines/>
              <w:spacing w:before="0" w:after="0" w:line="240" w:lineRule="auto"/>
              <w:jc w:val="center"/>
              <w:rPr>
                <w:sz w:val="20"/>
              </w:rPr>
            </w:pPr>
            <w:r>
              <w:rPr>
                <w:sz w:val="20"/>
              </w:rPr>
              <w:t>3,061</w:t>
            </w:r>
          </w:p>
        </w:tc>
        <w:tc>
          <w:tcPr>
            <w:tcW w:w="560" w:type="pct"/>
            <w:vMerge w:val="restart"/>
            <w:vAlign w:val="center"/>
          </w:tcPr>
          <w:p w14:paraId="1ABFE0B1" w14:textId="7359887C" w:rsidR="00CF7FBF" w:rsidRPr="00101358" w:rsidRDefault="0046345D" w:rsidP="00101358">
            <w:pPr>
              <w:keepNext/>
              <w:keepLines/>
              <w:spacing w:before="0" w:after="0" w:line="240" w:lineRule="auto"/>
              <w:jc w:val="center"/>
              <w:rPr>
                <w:sz w:val="20"/>
              </w:rPr>
            </w:pPr>
            <w:r>
              <w:rPr>
                <w:sz w:val="20"/>
              </w:rPr>
              <w:t>-1.1</w:t>
            </w:r>
            <w:r w:rsidR="00CF7FBF" w:rsidRPr="00101358">
              <w:rPr>
                <w:sz w:val="20"/>
              </w:rPr>
              <w:t>%</w:t>
            </w:r>
          </w:p>
        </w:tc>
      </w:tr>
      <w:tr w:rsidR="00101358" w:rsidRPr="0073515B" w14:paraId="3B758528" w14:textId="77777777" w:rsidTr="00101358">
        <w:trPr>
          <w:cantSplit/>
          <w:trHeight w:val="20"/>
        </w:trPr>
        <w:tc>
          <w:tcPr>
            <w:tcW w:w="522" w:type="pct"/>
            <w:vMerge/>
            <w:vAlign w:val="bottom"/>
          </w:tcPr>
          <w:p w14:paraId="1759B144" w14:textId="77777777" w:rsidR="00CF7FBF" w:rsidRPr="0073515B" w:rsidRDefault="00CF7FBF" w:rsidP="00101358">
            <w:pPr>
              <w:keepNext/>
              <w:keepLines/>
              <w:spacing w:before="0" w:after="0" w:line="240" w:lineRule="auto"/>
              <w:jc w:val="center"/>
              <w:rPr>
                <w:sz w:val="20"/>
              </w:rPr>
            </w:pPr>
          </w:p>
        </w:tc>
        <w:tc>
          <w:tcPr>
            <w:tcW w:w="560" w:type="pct"/>
            <w:vAlign w:val="center"/>
          </w:tcPr>
          <w:p w14:paraId="66F2318D" w14:textId="6FC22082" w:rsidR="00CF7FBF" w:rsidRPr="00101358" w:rsidRDefault="0046345D" w:rsidP="00101358">
            <w:pPr>
              <w:keepNext/>
              <w:keepLines/>
              <w:spacing w:before="0" w:after="0" w:line="240" w:lineRule="auto"/>
              <w:ind w:right="54"/>
              <w:jc w:val="center"/>
              <w:rPr>
                <w:color w:val="000000"/>
                <w:sz w:val="20"/>
              </w:rPr>
            </w:pPr>
            <w:r>
              <w:rPr>
                <w:color w:val="000000"/>
                <w:sz w:val="20"/>
              </w:rPr>
              <w:t>14.50</w:t>
            </w:r>
          </w:p>
        </w:tc>
        <w:tc>
          <w:tcPr>
            <w:tcW w:w="560" w:type="pct"/>
            <w:vAlign w:val="center"/>
          </w:tcPr>
          <w:p w14:paraId="7463E2BC" w14:textId="77777777" w:rsidR="00CF7FBF" w:rsidRPr="00101358" w:rsidRDefault="00CF7FBF" w:rsidP="00101358">
            <w:pPr>
              <w:keepNext/>
              <w:keepLines/>
              <w:spacing w:before="0" w:after="0" w:line="240" w:lineRule="auto"/>
              <w:jc w:val="center"/>
              <w:rPr>
                <w:sz w:val="20"/>
              </w:rPr>
            </w:pPr>
            <w:r w:rsidRPr="00101358">
              <w:rPr>
                <w:sz w:val="20"/>
              </w:rPr>
              <w:t>48%</w:t>
            </w:r>
          </w:p>
        </w:tc>
        <w:tc>
          <w:tcPr>
            <w:tcW w:w="560" w:type="pct"/>
          </w:tcPr>
          <w:p w14:paraId="36FE3172" w14:textId="77777777" w:rsidR="00CF7FBF" w:rsidRPr="00101358" w:rsidRDefault="00CF7FBF" w:rsidP="00101358">
            <w:pPr>
              <w:keepNext/>
              <w:keepLines/>
              <w:spacing w:before="0" w:after="0" w:line="240" w:lineRule="auto"/>
              <w:jc w:val="center"/>
              <w:rPr>
                <w:sz w:val="20"/>
              </w:rPr>
            </w:pPr>
            <w:r w:rsidRPr="00101358">
              <w:rPr>
                <w:sz w:val="20"/>
              </w:rPr>
              <w:t>145</w:t>
            </w:r>
          </w:p>
        </w:tc>
        <w:tc>
          <w:tcPr>
            <w:tcW w:w="560" w:type="pct"/>
          </w:tcPr>
          <w:p w14:paraId="50BBB2A9" w14:textId="00A3DA63" w:rsidR="00CF7FBF" w:rsidRPr="00101358" w:rsidRDefault="0046345D" w:rsidP="00101358">
            <w:pPr>
              <w:keepNext/>
              <w:keepLines/>
              <w:spacing w:before="0" w:after="0" w:line="240" w:lineRule="auto"/>
              <w:jc w:val="center"/>
              <w:rPr>
                <w:sz w:val="20"/>
              </w:rPr>
            </w:pPr>
            <w:r>
              <w:rPr>
                <w:sz w:val="20"/>
              </w:rPr>
              <w:t>4,205</w:t>
            </w:r>
          </w:p>
        </w:tc>
        <w:tc>
          <w:tcPr>
            <w:tcW w:w="560" w:type="pct"/>
            <w:vMerge/>
          </w:tcPr>
          <w:p w14:paraId="4BC1EBD7" w14:textId="77777777" w:rsidR="00CF7FBF" w:rsidRPr="00101358" w:rsidRDefault="00CF7FBF" w:rsidP="00101358">
            <w:pPr>
              <w:keepNext/>
              <w:keepLines/>
              <w:spacing w:before="0" w:after="0" w:line="240" w:lineRule="auto"/>
              <w:jc w:val="center"/>
              <w:rPr>
                <w:sz w:val="20"/>
              </w:rPr>
            </w:pPr>
          </w:p>
        </w:tc>
        <w:tc>
          <w:tcPr>
            <w:tcW w:w="560" w:type="pct"/>
          </w:tcPr>
          <w:p w14:paraId="698166E7" w14:textId="47C10A4C" w:rsidR="00CF7FBF" w:rsidRPr="00101358" w:rsidRDefault="0046345D" w:rsidP="00101358">
            <w:pPr>
              <w:keepNext/>
              <w:keepLines/>
              <w:spacing w:before="0" w:after="0" w:line="240" w:lineRule="auto"/>
              <w:jc w:val="center"/>
              <w:rPr>
                <w:sz w:val="20"/>
              </w:rPr>
            </w:pPr>
            <w:r>
              <w:rPr>
                <w:sz w:val="20"/>
              </w:rPr>
              <w:t>3,084</w:t>
            </w:r>
          </w:p>
        </w:tc>
        <w:tc>
          <w:tcPr>
            <w:tcW w:w="560" w:type="pct"/>
            <w:vMerge/>
          </w:tcPr>
          <w:p w14:paraId="245596EB" w14:textId="77777777" w:rsidR="00CF7FBF" w:rsidRPr="00101358" w:rsidRDefault="00CF7FBF" w:rsidP="00101358">
            <w:pPr>
              <w:keepNext/>
              <w:keepLines/>
              <w:spacing w:before="0" w:after="0" w:line="240" w:lineRule="auto"/>
              <w:jc w:val="center"/>
              <w:rPr>
                <w:sz w:val="20"/>
              </w:rPr>
            </w:pPr>
          </w:p>
        </w:tc>
        <w:tc>
          <w:tcPr>
            <w:tcW w:w="560" w:type="pct"/>
            <w:vMerge/>
          </w:tcPr>
          <w:p w14:paraId="028B7789" w14:textId="77777777" w:rsidR="00CF7FBF" w:rsidRPr="00101358" w:rsidRDefault="00CF7FBF" w:rsidP="00101358">
            <w:pPr>
              <w:keepNext/>
              <w:keepLines/>
              <w:spacing w:before="0" w:after="0" w:line="240" w:lineRule="auto"/>
              <w:jc w:val="center"/>
              <w:rPr>
                <w:sz w:val="20"/>
              </w:rPr>
            </w:pPr>
          </w:p>
        </w:tc>
      </w:tr>
    </w:tbl>
    <w:p w14:paraId="268226D4" w14:textId="77777777" w:rsidR="00CF7FBF" w:rsidRDefault="00CF7FBF" w:rsidP="00101358"/>
    <w:p w14:paraId="1564CFFE" w14:textId="0E5CEA90" w:rsidR="00CF7FBF" w:rsidRDefault="00CF7FBF" w:rsidP="00CF7FBF">
      <w:r w:rsidRPr="00EF513A">
        <w:rPr>
          <w:b/>
        </w:rPr>
        <w:t>Measure Case Average Watts.</w:t>
      </w:r>
      <w:r>
        <w:rPr>
          <w:b/>
        </w:rPr>
        <w:t xml:space="preserve"> </w:t>
      </w:r>
      <w:r w:rsidRPr="00A72BFF">
        <w:rPr>
          <w:szCs w:val="22"/>
        </w:rPr>
        <w:t xml:space="preserve">The measure </w:t>
      </w:r>
      <w:r>
        <w:rPr>
          <w:szCs w:val="22"/>
        </w:rPr>
        <w:t xml:space="preserve">case </w:t>
      </w:r>
      <w:r w:rsidRPr="00A72BFF">
        <w:rPr>
          <w:szCs w:val="22"/>
        </w:rPr>
        <w:t xml:space="preserve">wattages </w:t>
      </w:r>
      <w:r>
        <w:rPr>
          <w:szCs w:val="22"/>
        </w:rPr>
        <w:t xml:space="preserve">of lamps selected </w:t>
      </w:r>
      <w:r w:rsidR="00C61C53">
        <w:rPr>
          <w:szCs w:val="22"/>
        </w:rPr>
        <w:t>from the table</w:t>
      </w:r>
      <w:r>
        <w:rPr>
          <w:szCs w:val="22"/>
        </w:rPr>
        <w:t xml:space="preserve"> above for each fixture type were normalized based on the saturation weighting from </w:t>
      </w:r>
      <w:r w:rsidR="00C61C53">
        <w:rPr>
          <w:szCs w:val="22"/>
        </w:rPr>
        <w:t xml:space="preserve">the </w:t>
      </w:r>
      <w:r>
        <w:rPr>
          <w:szCs w:val="22"/>
        </w:rPr>
        <w:t>SCE Program data.</w:t>
      </w:r>
      <w:r w:rsidRPr="00A72BFF">
        <w:rPr>
          <w:szCs w:val="22"/>
        </w:rPr>
        <w:t xml:space="preserve"> </w:t>
      </w:r>
    </w:p>
    <w:p w14:paraId="65CA7CFD" w14:textId="75801AF6" w:rsidR="00CF7FBF" w:rsidRPr="0073515B" w:rsidRDefault="00CF7FBF">
      <w:pPr>
        <w:pStyle w:val="Caption"/>
      </w:pPr>
      <w:r>
        <w:t>Measure Case Lamp Wattages</w:t>
      </w:r>
    </w:p>
    <w:tbl>
      <w:tblPr>
        <w:tblStyle w:val="TableGrid1"/>
        <w:tblW w:w="5000"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1E0" w:firstRow="1" w:lastRow="1" w:firstColumn="1" w:lastColumn="1" w:noHBand="0" w:noVBand="0"/>
      </w:tblPr>
      <w:tblGrid>
        <w:gridCol w:w="957"/>
        <w:gridCol w:w="1552"/>
        <w:gridCol w:w="1554"/>
        <w:gridCol w:w="1554"/>
        <w:gridCol w:w="3733"/>
      </w:tblGrid>
      <w:tr w:rsidR="00026A37" w:rsidRPr="00026A37" w14:paraId="177C8264" w14:textId="77777777" w:rsidTr="00026A37">
        <w:trPr>
          <w:cantSplit/>
        </w:trPr>
        <w:tc>
          <w:tcPr>
            <w:tcW w:w="512" w:type="pct"/>
            <w:shd w:val="clear" w:color="auto" w:fill="F2F2F2" w:themeFill="background1" w:themeFillShade="F2"/>
            <w:vAlign w:val="bottom"/>
          </w:tcPr>
          <w:p w14:paraId="2429EB1A" w14:textId="77777777" w:rsidR="00CF7FBF" w:rsidRPr="00026A37" w:rsidRDefault="00CF7FBF" w:rsidP="00026A37">
            <w:pPr>
              <w:keepNext/>
              <w:keepLines/>
              <w:spacing w:before="0" w:after="0" w:line="240" w:lineRule="auto"/>
              <w:jc w:val="center"/>
              <w:rPr>
                <w:rFonts w:cstheme="minorHAnsi"/>
                <w:b/>
                <w:sz w:val="20"/>
                <w:highlight w:val="yellow"/>
              </w:rPr>
            </w:pPr>
            <w:r w:rsidRPr="00026A37">
              <w:rPr>
                <w:rFonts w:cstheme="minorHAnsi"/>
                <w:b/>
                <w:sz w:val="20"/>
              </w:rPr>
              <w:t>Fixture Type</w:t>
            </w:r>
          </w:p>
        </w:tc>
        <w:tc>
          <w:tcPr>
            <w:tcW w:w="830" w:type="pct"/>
            <w:shd w:val="clear" w:color="auto" w:fill="F2F2F2" w:themeFill="background1" w:themeFillShade="F2"/>
            <w:vAlign w:val="bottom"/>
          </w:tcPr>
          <w:p w14:paraId="772CFB37" w14:textId="2DD33075" w:rsidR="00CF7FBF" w:rsidRPr="00026A37" w:rsidRDefault="00AE6684" w:rsidP="00026A37">
            <w:pPr>
              <w:keepNext/>
              <w:keepLines/>
              <w:spacing w:before="0" w:after="0" w:line="240" w:lineRule="auto"/>
              <w:jc w:val="center"/>
              <w:rPr>
                <w:rFonts w:cstheme="minorHAnsi"/>
                <w:b/>
                <w:sz w:val="20"/>
              </w:rPr>
            </w:pPr>
            <w:r>
              <w:rPr>
                <w:rFonts w:cstheme="minorHAnsi"/>
                <w:b/>
                <w:sz w:val="20"/>
              </w:rPr>
              <w:t>In-Situ</w:t>
            </w:r>
            <w:r w:rsidRPr="00026A37">
              <w:rPr>
                <w:rFonts w:cstheme="minorHAnsi"/>
                <w:b/>
                <w:sz w:val="20"/>
              </w:rPr>
              <w:t xml:space="preserve"> </w:t>
            </w:r>
            <w:r w:rsidR="00CF7FBF" w:rsidRPr="00026A37">
              <w:rPr>
                <w:rFonts w:cstheme="minorHAnsi"/>
                <w:b/>
                <w:sz w:val="20"/>
              </w:rPr>
              <w:t xml:space="preserve">LED </w:t>
            </w:r>
            <w:r w:rsidR="00CF7FBF" w:rsidRPr="00026A37">
              <w:rPr>
                <w:rFonts w:cstheme="minorHAnsi"/>
                <w:b/>
                <w:sz w:val="20"/>
              </w:rPr>
              <w:br/>
              <w:t>(W)</w:t>
            </w:r>
          </w:p>
        </w:tc>
        <w:tc>
          <w:tcPr>
            <w:tcW w:w="831" w:type="pct"/>
            <w:shd w:val="clear" w:color="auto" w:fill="F2F2F2" w:themeFill="background1" w:themeFillShade="F2"/>
            <w:vAlign w:val="bottom"/>
          </w:tcPr>
          <w:p w14:paraId="13AE64B8" w14:textId="77777777" w:rsidR="00CF7FBF" w:rsidRPr="00026A37" w:rsidRDefault="00CF7FBF" w:rsidP="00026A37">
            <w:pPr>
              <w:keepNext/>
              <w:keepLines/>
              <w:spacing w:before="0" w:after="0" w:line="240" w:lineRule="auto"/>
              <w:jc w:val="center"/>
              <w:rPr>
                <w:rFonts w:cstheme="minorHAnsi"/>
                <w:b/>
                <w:sz w:val="20"/>
              </w:rPr>
            </w:pPr>
            <w:r w:rsidRPr="00026A37">
              <w:rPr>
                <w:rFonts w:cstheme="minorHAnsi"/>
                <w:b/>
                <w:sz w:val="20"/>
              </w:rPr>
              <w:t>Lamp Saturation Weight (%)</w:t>
            </w:r>
          </w:p>
        </w:tc>
        <w:tc>
          <w:tcPr>
            <w:tcW w:w="831" w:type="pct"/>
            <w:shd w:val="clear" w:color="auto" w:fill="F2F2F2" w:themeFill="background1" w:themeFillShade="F2"/>
            <w:vAlign w:val="bottom"/>
          </w:tcPr>
          <w:p w14:paraId="245AA483" w14:textId="19F6BB7E" w:rsidR="00CF7FBF" w:rsidRPr="00026A37" w:rsidRDefault="00CF7FBF" w:rsidP="00026A37">
            <w:pPr>
              <w:keepNext/>
              <w:keepLines/>
              <w:spacing w:before="0" w:after="0" w:line="240" w:lineRule="auto"/>
              <w:jc w:val="center"/>
              <w:rPr>
                <w:rFonts w:cstheme="minorHAnsi"/>
                <w:b/>
                <w:sz w:val="20"/>
              </w:rPr>
            </w:pPr>
            <w:r w:rsidRPr="00026A37">
              <w:rPr>
                <w:rFonts w:cstheme="minorHAnsi"/>
                <w:b/>
                <w:sz w:val="20"/>
              </w:rPr>
              <w:t xml:space="preserve">Weighted Average </w:t>
            </w:r>
            <w:r w:rsidR="00811365">
              <w:rPr>
                <w:rFonts w:cstheme="minorHAnsi"/>
                <w:b/>
                <w:sz w:val="20"/>
              </w:rPr>
              <w:t>Lamp</w:t>
            </w:r>
            <w:r w:rsidR="00811365" w:rsidRPr="00026A37">
              <w:rPr>
                <w:rFonts w:cstheme="minorHAnsi"/>
                <w:b/>
                <w:sz w:val="20"/>
              </w:rPr>
              <w:t xml:space="preserve"> </w:t>
            </w:r>
            <w:r w:rsidRPr="00026A37">
              <w:rPr>
                <w:rFonts w:cstheme="minorHAnsi"/>
                <w:b/>
                <w:sz w:val="20"/>
              </w:rPr>
              <w:t>Wattage (W)</w:t>
            </w:r>
          </w:p>
        </w:tc>
        <w:tc>
          <w:tcPr>
            <w:tcW w:w="1996" w:type="pct"/>
            <w:shd w:val="clear" w:color="auto" w:fill="F2F2F2" w:themeFill="background1" w:themeFillShade="F2"/>
            <w:vAlign w:val="bottom"/>
          </w:tcPr>
          <w:p w14:paraId="4465FBDF" w14:textId="77777777" w:rsidR="00CF7FBF" w:rsidRPr="00026A37" w:rsidRDefault="00CF7FBF" w:rsidP="00026A37">
            <w:pPr>
              <w:keepNext/>
              <w:keepLines/>
              <w:spacing w:before="0" w:after="0" w:line="240" w:lineRule="auto"/>
              <w:jc w:val="center"/>
              <w:rPr>
                <w:rFonts w:cstheme="minorHAnsi"/>
                <w:b/>
                <w:sz w:val="20"/>
              </w:rPr>
            </w:pPr>
            <w:r w:rsidRPr="00026A37">
              <w:rPr>
                <w:rFonts w:cstheme="minorHAnsi"/>
                <w:b/>
                <w:sz w:val="20"/>
              </w:rPr>
              <w:t>Source</w:t>
            </w:r>
          </w:p>
        </w:tc>
      </w:tr>
      <w:tr w:rsidR="00026A37" w:rsidRPr="00026A37" w14:paraId="1FA3EA48" w14:textId="77777777" w:rsidTr="00026A37">
        <w:trPr>
          <w:cantSplit/>
        </w:trPr>
        <w:tc>
          <w:tcPr>
            <w:tcW w:w="512" w:type="pct"/>
            <w:vMerge w:val="restart"/>
            <w:vAlign w:val="center"/>
          </w:tcPr>
          <w:p w14:paraId="1EA2EAC8" w14:textId="77777777" w:rsidR="00CF7FBF" w:rsidRPr="00026A37" w:rsidRDefault="00CF7FBF" w:rsidP="00026A37">
            <w:pPr>
              <w:keepNext/>
              <w:keepLines/>
              <w:spacing w:before="0" w:after="0" w:line="240" w:lineRule="auto"/>
              <w:jc w:val="center"/>
              <w:rPr>
                <w:sz w:val="20"/>
              </w:rPr>
            </w:pPr>
            <w:r w:rsidRPr="00026A37">
              <w:rPr>
                <w:sz w:val="20"/>
              </w:rPr>
              <w:t>Troffer</w:t>
            </w:r>
          </w:p>
        </w:tc>
        <w:tc>
          <w:tcPr>
            <w:tcW w:w="830" w:type="pct"/>
            <w:vAlign w:val="center"/>
          </w:tcPr>
          <w:p w14:paraId="6B15B3D3" w14:textId="12ABF763" w:rsidR="00CF7FBF" w:rsidRPr="00026A37" w:rsidDel="0050029C" w:rsidRDefault="00CF7FBF" w:rsidP="00026A37">
            <w:pPr>
              <w:keepNext/>
              <w:keepLines/>
              <w:spacing w:before="0" w:after="0" w:line="240" w:lineRule="auto"/>
              <w:ind w:right="-6"/>
              <w:jc w:val="center"/>
              <w:rPr>
                <w:color w:val="000000"/>
                <w:sz w:val="20"/>
              </w:rPr>
            </w:pPr>
            <w:r w:rsidRPr="00026A37">
              <w:rPr>
                <w:color w:val="000000"/>
                <w:sz w:val="20"/>
              </w:rPr>
              <w:t>14</w:t>
            </w:r>
            <w:r w:rsidR="00AE6684">
              <w:rPr>
                <w:color w:val="000000"/>
                <w:sz w:val="20"/>
              </w:rPr>
              <w:t>.00</w:t>
            </w:r>
          </w:p>
        </w:tc>
        <w:tc>
          <w:tcPr>
            <w:tcW w:w="831" w:type="pct"/>
            <w:vAlign w:val="center"/>
          </w:tcPr>
          <w:p w14:paraId="3AA09632" w14:textId="77777777" w:rsidR="00CF7FBF" w:rsidRPr="00026A37" w:rsidDel="0050029C" w:rsidRDefault="00CF7FBF" w:rsidP="00026A37">
            <w:pPr>
              <w:keepNext/>
              <w:keepLines/>
              <w:spacing w:before="0" w:after="0" w:line="240" w:lineRule="auto"/>
              <w:ind w:right="-6"/>
              <w:jc w:val="center"/>
              <w:rPr>
                <w:color w:val="000000"/>
                <w:sz w:val="20"/>
              </w:rPr>
            </w:pPr>
            <w:r w:rsidRPr="00026A37">
              <w:rPr>
                <w:sz w:val="20"/>
              </w:rPr>
              <w:t>42%</w:t>
            </w:r>
          </w:p>
        </w:tc>
        <w:tc>
          <w:tcPr>
            <w:tcW w:w="831" w:type="pct"/>
            <w:vMerge w:val="restart"/>
            <w:vAlign w:val="center"/>
          </w:tcPr>
          <w:p w14:paraId="3DAECF69" w14:textId="77777777" w:rsidR="00CF7FBF" w:rsidRPr="00026A37" w:rsidRDefault="00CF7FBF" w:rsidP="00026A37">
            <w:pPr>
              <w:keepNext/>
              <w:keepLines/>
              <w:spacing w:before="0" w:after="0" w:line="240" w:lineRule="auto"/>
              <w:jc w:val="center"/>
              <w:rPr>
                <w:sz w:val="20"/>
              </w:rPr>
            </w:pPr>
            <w:r w:rsidRPr="00026A37">
              <w:rPr>
                <w:sz w:val="20"/>
              </w:rPr>
              <w:t>14.58</w:t>
            </w:r>
          </w:p>
        </w:tc>
        <w:tc>
          <w:tcPr>
            <w:tcW w:w="1996" w:type="pct"/>
            <w:vMerge w:val="restart"/>
            <w:vAlign w:val="center"/>
          </w:tcPr>
          <w:p w14:paraId="7657C16A" w14:textId="37AE8351" w:rsidR="00CF7FBF" w:rsidRPr="00026A37" w:rsidRDefault="00A3514A" w:rsidP="00026A37">
            <w:pPr>
              <w:keepNext/>
              <w:keepLines/>
              <w:spacing w:before="0" w:after="0" w:line="240" w:lineRule="auto"/>
              <w:rPr>
                <w:sz w:val="18"/>
                <w:highlight w:val="yellow"/>
              </w:rPr>
            </w:pPr>
            <w:r w:rsidRPr="00A3514A">
              <w:rPr>
                <w:sz w:val="18"/>
              </w:rPr>
              <w:t>Southern California Edison (SCE). 20</w:t>
            </w:r>
            <w:r w:rsidR="00287EBD">
              <w:rPr>
                <w:sz w:val="18"/>
              </w:rPr>
              <w:t>20</w:t>
            </w:r>
            <w:r w:rsidRPr="00A3514A">
              <w:rPr>
                <w:sz w:val="18"/>
              </w:rPr>
              <w:t>. “</w:t>
            </w:r>
            <w:r w:rsidR="00287EBD">
              <w:rPr>
                <w:sz w:val="18"/>
              </w:rPr>
              <w:t>SWLG009-02</w:t>
            </w:r>
            <w:r w:rsidRPr="00A3514A">
              <w:rPr>
                <w:sz w:val="18"/>
              </w:rPr>
              <w:t xml:space="preserve"> TLED Delta Watts Calculation.xlsx.”</w:t>
            </w:r>
          </w:p>
        </w:tc>
      </w:tr>
      <w:tr w:rsidR="00026A37" w:rsidRPr="00026A37" w14:paraId="2B6077D4" w14:textId="77777777" w:rsidTr="00026A37">
        <w:trPr>
          <w:cantSplit/>
        </w:trPr>
        <w:tc>
          <w:tcPr>
            <w:tcW w:w="512" w:type="pct"/>
            <w:vMerge/>
            <w:vAlign w:val="center"/>
          </w:tcPr>
          <w:p w14:paraId="6E5F9FD9" w14:textId="77777777" w:rsidR="00CF7FBF" w:rsidRPr="00026A37" w:rsidRDefault="00CF7FBF" w:rsidP="00026A37">
            <w:pPr>
              <w:keepNext/>
              <w:keepLines/>
              <w:spacing w:before="0" w:after="0" w:line="240" w:lineRule="auto"/>
              <w:jc w:val="center"/>
              <w:rPr>
                <w:sz w:val="20"/>
              </w:rPr>
            </w:pPr>
          </w:p>
        </w:tc>
        <w:tc>
          <w:tcPr>
            <w:tcW w:w="830" w:type="pct"/>
            <w:vAlign w:val="center"/>
          </w:tcPr>
          <w:p w14:paraId="658443E9" w14:textId="3CFFB308" w:rsidR="00CF7FBF" w:rsidRPr="00026A37" w:rsidRDefault="00CF7FBF" w:rsidP="00026A37">
            <w:pPr>
              <w:keepNext/>
              <w:keepLines/>
              <w:spacing w:before="0" w:after="0" w:line="240" w:lineRule="auto"/>
              <w:ind w:right="-6"/>
              <w:jc w:val="center"/>
              <w:rPr>
                <w:color w:val="000000"/>
                <w:sz w:val="20"/>
              </w:rPr>
            </w:pPr>
            <w:r w:rsidRPr="00026A37">
              <w:rPr>
                <w:color w:val="000000"/>
                <w:sz w:val="20"/>
              </w:rPr>
              <w:t>15</w:t>
            </w:r>
            <w:r w:rsidR="00AE6684">
              <w:rPr>
                <w:color w:val="000000"/>
                <w:sz w:val="20"/>
              </w:rPr>
              <w:t>.00</w:t>
            </w:r>
          </w:p>
        </w:tc>
        <w:tc>
          <w:tcPr>
            <w:tcW w:w="831" w:type="pct"/>
            <w:vAlign w:val="center"/>
          </w:tcPr>
          <w:p w14:paraId="1E2E3A0F" w14:textId="77777777" w:rsidR="00CF7FBF" w:rsidRPr="00026A37" w:rsidRDefault="00CF7FBF" w:rsidP="00026A37">
            <w:pPr>
              <w:keepNext/>
              <w:keepLines/>
              <w:spacing w:before="0" w:after="0" w:line="240" w:lineRule="auto"/>
              <w:ind w:right="-6"/>
              <w:jc w:val="center"/>
              <w:rPr>
                <w:color w:val="000000"/>
                <w:sz w:val="20"/>
              </w:rPr>
            </w:pPr>
            <w:r w:rsidRPr="00026A37">
              <w:rPr>
                <w:sz w:val="20"/>
              </w:rPr>
              <w:t>58%</w:t>
            </w:r>
          </w:p>
        </w:tc>
        <w:tc>
          <w:tcPr>
            <w:tcW w:w="831" w:type="pct"/>
            <w:vMerge/>
            <w:vAlign w:val="center"/>
          </w:tcPr>
          <w:p w14:paraId="6E7600F4" w14:textId="77777777" w:rsidR="00CF7FBF" w:rsidRPr="00026A37" w:rsidRDefault="00CF7FBF" w:rsidP="00026A37">
            <w:pPr>
              <w:keepNext/>
              <w:keepLines/>
              <w:spacing w:before="0" w:after="0" w:line="240" w:lineRule="auto"/>
              <w:jc w:val="center"/>
              <w:rPr>
                <w:sz w:val="20"/>
              </w:rPr>
            </w:pPr>
          </w:p>
        </w:tc>
        <w:tc>
          <w:tcPr>
            <w:tcW w:w="1996" w:type="pct"/>
            <w:vMerge/>
          </w:tcPr>
          <w:p w14:paraId="400F70A0" w14:textId="77777777" w:rsidR="00CF7FBF" w:rsidRPr="00026A37" w:rsidRDefault="00CF7FBF" w:rsidP="00026A37">
            <w:pPr>
              <w:keepNext/>
              <w:keepLines/>
              <w:spacing w:before="0" w:after="0" w:line="240" w:lineRule="auto"/>
              <w:jc w:val="center"/>
              <w:rPr>
                <w:sz w:val="20"/>
              </w:rPr>
            </w:pPr>
          </w:p>
        </w:tc>
      </w:tr>
      <w:tr w:rsidR="00026A37" w:rsidRPr="00026A37" w14:paraId="53AA0258" w14:textId="77777777" w:rsidTr="00026A37">
        <w:trPr>
          <w:cantSplit/>
        </w:trPr>
        <w:tc>
          <w:tcPr>
            <w:tcW w:w="512" w:type="pct"/>
            <w:vMerge w:val="restart"/>
            <w:vAlign w:val="center"/>
          </w:tcPr>
          <w:p w14:paraId="2EE1C15B" w14:textId="77777777" w:rsidR="00CF7FBF" w:rsidRPr="00026A37" w:rsidRDefault="00CF7FBF" w:rsidP="00026A37">
            <w:pPr>
              <w:keepNext/>
              <w:keepLines/>
              <w:spacing w:before="0" w:after="0" w:line="240" w:lineRule="auto"/>
              <w:jc w:val="center"/>
              <w:rPr>
                <w:sz w:val="20"/>
              </w:rPr>
            </w:pPr>
            <w:r w:rsidRPr="00026A37">
              <w:rPr>
                <w:sz w:val="20"/>
              </w:rPr>
              <w:t>Parking Fixture</w:t>
            </w:r>
          </w:p>
        </w:tc>
        <w:tc>
          <w:tcPr>
            <w:tcW w:w="830" w:type="pct"/>
            <w:vAlign w:val="center"/>
          </w:tcPr>
          <w:p w14:paraId="25C38286" w14:textId="42C712C0" w:rsidR="00CF7FBF" w:rsidRPr="00026A37" w:rsidRDefault="0046345D" w:rsidP="00026A37">
            <w:pPr>
              <w:keepNext/>
              <w:keepLines/>
              <w:spacing w:before="0" w:after="0" w:line="240" w:lineRule="auto"/>
              <w:ind w:right="-6"/>
              <w:jc w:val="center"/>
              <w:rPr>
                <w:color w:val="000000"/>
                <w:sz w:val="20"/>
              </w:rPr>
            </w:pPr>
            <w:r>
              <w:rPr>
                <w:color w:val="000000"/>
                <w:sz w:val="20"/>
              </w:rPr>
              <w:t>14.25</w:t>
            </w:r>
          </w:p>
        </w:tc>
        <w:tc>
          <w:tcPr>
            <w:tcW w:w="831" w:type="pct"/>
            <w:vAlign w:val="center"/>
          </w:tcPr>
          <w:p w14:paraId="58730693" w14:textId="77777777" w:rsidR="00CF7FBF" w:rsidRPr="00026A37" w:rsidRDefault="00CF7FBF" w:rsidP="00026A37">
            <w:pPr>
              <w:keepNext/>
              <w:keepLines/>
              <w:spacing w:before="0" w:after="0" w:line="240" w:lineRule="auto"/>
              <w:ind w:right="-6"/>
              <w:jc w:val="center"/>
              <w:rPr>
                <w:color w:val="000000"/>
                <w:sz w:val="20"/>
              </w:rPr>
            </w:pPr>
            <w:r w:rsidRPr="00026A37">
              <w:rPr>
                <w:sz w:val="20"/>
              </w:rPr>
              <w:t>42%</w:t>
            </w:r>
          </w:p>
        </w:tc>
        <w:tc>
          <w:tcPr>
            <w:tcW w:w="831" w:type="pct"/>
            <w:vMerge w:val="restart"/>
            <w:vAlign w:val="center"/>
          </w:tcPr>
          <w:p w14:paraId="4FD02292" w14:textId="56FD1EC2" w:rsidR="00CF7FBF" w:rsidRPr="00026A37" w:rsidRDefault="0046345D" w:rsidP="00026A37">
            <w:pPr>
              <w:keepNext/>
              <w:keepLines/>
              <w:spacing w:before="0" w:after="0" w:line="240" w:lineRule="auto"/>
              <w:jc w:val="center"/>
              <w:rPr>
                <w:sz w:val="20"/>
              </w:rPr>
            </w:pPr>
            <w:r>
              <w:rPr>
                <w:sz w:val="20"/>
              </w:rPr>
              <w:t>14.40</w:t>
            </w:r>
          </w:p>
        </w:tc>
        <w:tc>
          <w:tcPr>
            <w:tcW w:w="1996" w:type="pct"/>
            <w:vMerge/>
          </w:tcPr>
          <w:p w14:paraId="7ECB2DD3" w14:textId="77777777" w:rsidR="00CF7FBF" w:rsidRPr="00026A37" w:rsidRDefault="00CF7FBF" w:rsidP="00026A37">
            <w:pPr>
              <w:keepNext/>
              <w:keepLines/>
              <w:spacing w:before="0" w:after="0" w:line="240" w:lineRule="auto"/>
              <w:jc w:val="center"/>
              <w:rPr>
                <w:sz w:val="20"/>
              </w:rPr>
            </w:pPr>
          </w:p>
        </w:tc>
      </w:tr>
      <w:tr w:rsidR="00026A37" w:rsidRPr="00026A37" w14:paraId="51548529" w14:textId="77777777" w:rsidTr="00026A37">
        <w:trPr>
          <w:cantSplit/>
        </w:trPr>
        <w:tc>
          <w:tcPr>
            <w:tcW w:w="512" w:type="pct"/>
            <w:vMerge/>
            <w:vAlign w:val="bottom"/>
          </w:tcPr>
          <w:p w14:paraId="3C28CC33" w14:textId="77777777" w:rsidR="00CF7FBF" w:rsidRPr="00026A37" w:rsidRDefault="00CF7FBF" w:rsidP="00026A37">
            <w:pPr>
              <w:keepNext/>
              <w:keepLines/>
              <w:spacing w:before="0" w:after="0" w:line="240" w:lineRule="auto"/>
              <w:jc w:val="center"/>
              <w:rPr>
                <w:sz w:val="20"/>
              </w:rPr>
            </w:pPr>
          </w:p>
        </w:tc>
        <w:tc>
          <w:tcPr>
            <w:tcW w:w="830" w:type="pct"/>
            <w:vAlign w:val="center"/>
          </w:tcPr>
          <w:p w14:paraId="042E9F64" w14:textId="3DE14ECD" w:rsidR="00CF7FBF" w:rsidRPr="00026A37" w:rsidRDefault="0046345D" w:rsidP="00026A37">
            <w:pPr>
              <w:keepNext/>
              <w:keepLines/>
              <w:spacing w:before="0" w:after="0" w:line="240" w:lineRule="auto"/>
              <w:ind w:right="-6"/>
              <w:jc w:val="center"/>
              <w:rPr>
                <w:color w:val="000000"/>
                <w:sz w:val="20"/>
              </w:rPr>
            </w:pPr>
            <w:r>
              <w:rPr>
                <w:color w:val="000000"/>
                <w:sz w:val="20"/>
              </w:rPr>
              <w:t>14.50</w:t>
            </w:r>
          </w:p>
        </w:tc>
        <w:tc>
          <w:tcPr>
            <w:tcW w:w="831" w:type="pct"/>
            <w:vAlign w:val="center"/>
          </w:tcPr>
          <w:p w14:paraId="0BA57129" w14:textId="77777777" w:rsidR="00CF7FBF" w:rsidRPr="00026A37" w:rsidRDefault="00CF7FBF" w:rsidP="00026A37">
            <w:pPr>
              <w:keepNext/>
              <w:keepLines/>
              <w:spacing w:before="0" w:after="0" w:line="240" w:lineRule="auto"/>
              <w:ind w:right="-6"/>
              <w:jc w:val="center"/>
              <w:rPr>
                <w:color w:val="000000"/>
                <w:sz w:val="20"/>
              </w:rPr>
            </w:pPr>
            <w:r w:rsidRPr="00026A37">
              <w:rPr>
                <w:sz w:val="20"/>
              </w:rPr>
              <w:t>48%</w:t>
            </w:r>
          </w:p>
        </w:tc>
        <w:tc>
          <w:tcPr>
            <w:tcW w:w="831" w:type="pct"/>
            <w:vMerge/>
            <w:vAlign w:val="bottom"/>
          </w:tcPr>
          <w:p w14:paraId="64F2DD5A" w14:textId="77777777" w:rsidR="00CF7FBF" w:rsidRPr="00026A37" w:rsidRDefault="00CF7FBF" w:rsidP="00026A37">
            <w:pPr>
              <w:keepNext/>
              <w:keepLines/>
              <w:spacing w:before="0" w:after="0" w:line="240" w:lineRule="auto"/>
              <w:jc w:val="center"/>
              <w:rPr>
                <w:sz w:val="20"/>
              </w:rPr>
            </w:pPr>
          </w:p>
        </w:tc>
        <w:tc>
          <w:tcPr>
            <w:tcW w:w="1996" w:type="pct"/>
            <w:vMerge/>
          </w:tcPr>
          <w:p w14:paraId="5422AD05" w14:textId="77777777" w:rsidR="00CF7FBF" w:rsidRPr="00026A37" w:rsidRDefault="00CF7FBF" w:rsidP="00026A37">
            <w:pPr>
              <w:keepNext/>
              <w:keepLines/>
              <w:spacing w:before="0" w:after="0" w:line="240" w:lineRule="auto"/>
              <w:jc w:val="center"/>
              <w:rPr>
                <w:sz w:val="20"/>
              </w:rPr>
            </w:pPr>
          </w:p>
        </w:tc>
      </w:tr>
    </w:tbl>
    <w:p w14:paraId="7905E661" w14:textId="77777777" w:rsidR="008859BE" w:rsidRDefault="008859BE" w:rsidP="00CF7FBF"/>
    <w:p w14:paraId="726422FA" w14:textId="652DB581" w:rsidR="0094495E" w:rsidRDefault="0094495E" w:rsidP="0094495E">
      <w:r>
        <w:rPr>
          <w:b/>
        </w:rPr>
        <w:t>Demand Difference</w:t>
      </w:r>
      <w:r w:rsidR="000D04BC">
        <w:rPr>
          <w:b/>
        </w:rPr>
        <w:t>.</w:t>
      </w:r>
      <w:r w:rsidR="001C0160">
        <w:rPr>
          <w:b/>
        </w:rPr>
        <w:t xml:space="preserve"> </w:t>
      </w:r>
      <w:r w:rsidR="00C72918">
        <w:t>The</w:t>
      </w:r>
      <w:r>
        <w:t xml:space="preserve"> demand difference</w:t>
      </w:r>
      <w:r>
        <w:rPr>
          <w:sz w:val="18"/>
        </w:rPr>
        <w:t xml:space="preserve"> </w:t>
      </w:r>
      <w:r w:rsidRPr="000404D1">
        <w:t>is the difference</w:t>
      </w:r>
      <w:r>
        <w:t xml:space="preserve"> between the electric demand of the base case lamp and the electric demand of the measure case lamp. </w:t>
      </w:r>
    </w:p>
    <w:p w14:paraId="069EC7E3" w14:textId="7DFF8EFF" w:rsidR="0094495E" w:rsidRPr="00E43858" w:rsidRDefault="0094495E" w:rsidP="0094495E">
      <w:r w:rsidRPr="009D5912">
        <w:rPr>
          <w:b/>
        </w:rPr>
        <w:t>Interactive Effects</w:t>
      </w:r>
      <w:r>
        <w:rPr>
          <w:b/>
        </w:rPr>
        <w:t xml:space="preserve"> Multiplier</w:t>
      </w:r>
      <w:r w:rsidRPr="009D5912">
        <w:rPr>
          <w:b/>
        </w:rPr>
        <w:t xml:space="preserve">. </w:t>
      </w:r>
      <w:bookmarkStart w:id="47" w:name="_Hlk6221371"/>
      <w:r>
        <w:t xml:space="preserve">Heating, ventilating and air conditioning (HVAC) interactive effects refers to the change in HVAC energy </w:t>
      </w:r>
      <w:r w:rsidRPr="00E43858">
        <w:t xml:space="preserve">usage due to the installation of energy-savings measures that directly change electric energy use within the conditioned space of a building. Interactive effective multipliers are developed and maintained by the </w:t>
      </w:r>
      <w:r w:rsidR="00C72918">
        <w:t>California Public Utilities Commission (</w:t>
      </w:r>
      <w:r w:rsidRPr="00E43858">
        <w:t>CPUC</w:t>
      </w:r>
      <w:r w:rsidR="00C72918">
        <w:t>)</w:t>
      </w:r>
      <w:r w:rsidRPr="00E43858">
        <w:t xml:space="preserve"> Energy Division and its team of consultants via building simulation techniques that incorporate results from building site surveys, field measurements, laboratory tests</w:t>
      </w:r>
      <w:r>
        <w:t>,</w:t>
      </w:r>
      <w:r w:rsidRPr="00E43858">
        <w:t xml:space="preserve"> and facility billing data analysis. Interactive effects multipliers for lighting measures vary by </w:t>
      </w:r>
      <w:r w:rsidR="00FC0CA6">
        <w:t>building type, vintage, climate zone</w:t>
      </w:r>
      <w:r>
        <w:t xml:space="preserve">, </w:t>
      </w:r>
      <w:r w:rsidRPr="00E43858">
        <w:t>lighting type</w:t>
      </w:r>
      <w:r>
        <w:t>,</w:t>
      </w:r>
      <w:r w:rsidRPr="00E43858">
        <w:t xml:space="preserve"> and occupancy sensor </w:t>
      </w:r>
      <w:r>
        <w:t xml:space="preserve">scenario. </w:t>
      </w:r>
      <w:bookmarkEnd w:id="47"/>
      <w:r>
        <w:t xml:space="preserve">The relevant designations to identify the appropriate interactive effects multipliers for LED </w:t>
      </w:r>
      <w:r w:rsidR="001554FB">
        <w:t>T8 replacement lamps</w:t>
      </w:r>
      <w:r>
        <w:t xml:space="preserve"> are </w:t>
      </w:r>
      <w:r w:rsidR="009657F4">
        <w:t>provided below</w:t>
      </w:r>
      <w:r>
        <w:t>.</w:t>
      </w:r>
    </w:p>
    <w:p w14:paraId="40CBDF5C" w14:textId="622376E6" w:rsidR="00CF7FBF" w:rsidRDefault="00CF7FBF">
      <w:pPr>
        <w:pStyle w:val="Caption"/>
      </w:pPr>
      <w:r>
        <w:t xml:space="preserve">Interactive Effects Multiplier Designations for LED T8 Replacement Lamps UL Type A </w:t>
      </w:r>
    </w:p>
    <w:tbl>
      <w:tblPr>
        <w:tblW w:w="92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0" w:type="dxa"/>
          <w:right w:w="0" w:type="dxa"/>
        </w:tblCellMar>
        <w:tblLook w:val="04A0" w:firstRow="1" w:lastRow="0" w:firstColumn="1" w:lastColumn="0" w:noHBand="0" w:noVBand="1"/>
      </w:tblPr>
      <w:tblGrid>
        <w:gridCol w:w="1085"/>
        <w:gridCol w:w="2250"/>
        <w:gridCol w:w="360"/>
        <w:gridCol w:w="1980"/>
        <w:gridCol w:w="3568"/>
      </w:tblGrid>
      <w:tr w:rsidR="00287EBD" w:rsidRPr="00026A37" w14:paraId="38794136" w14:textId="77777777" w:rsidTr="00345E29">
        <w:trPr>
          <w:trHeight w:val="232"/>
        </w:trPr>
        <w:tc>
          <w:tcPr>
            <w:tcW w:w="1085" w:type="dxa"/>
            <w:shd w:val="clear" w:color="auto" w:fill="F2F2F2" w:themeFill="background1" w:themeFillShade="F2"/>
            <w:vAlign w:val="bottom"/>
          </w:tcPr>
          <w:p w14:paraId="6844A25D" w14:textId="77777777" w:rsidR="00287EBD" w:rsidRPr="00026A37" w:rsidRDefault="00287EBD" w:rsidP="00B80039">
            <w:pPr>
              <w:spacing w:before="20" w:after="20"/>
              <w:jc w:val="center"/>
              <w:rPr>
                <w:b/>
                <w:color w:val="000000"/>
                <w:sz w:val="20"/>
                <w:szCs w:val="20"/>
              </w:rPr>
            </w:pPr>
            <w:r w:rsidRPr="00026A37">
              <w:rPr>
                <w:b/>
                <w:color w:val="000000"/>
                <w:sz w:val="20"/>
                <w:szCs w:val="20"/>
              </w:rPr>
              <w:t>Sector</w:t>
            </w:r>
          </w:p>
        </w:tc>
        <w:tc>
          <w:tcPr>
            <w:tcW w:w="2250" w:type="dxa"/>
            <w:shd w:val="clear" w:color="auto" w:fill="F2F2F2" w:themeFill="background1" w:themeFillShade="F2"/>
            <w:noWrap/>
            <w:tcMar>
              <w:top w:w="0" w:type="dxa"/>
              <w:left w:w="108" w:type="dxa"/>
              <w:bottom w:w="0" w:type="dxa"/>
              <w:right w:w="108" w:type="dxa"/>
            </w:tcMar>
            <w:vAlign w:val="bottom"/>
            <w:hideMark/>
          </w:tcPr>
          <w:p w14:paraId="2C15B0BD" w14:textId="77777777" w:rsidR="00287EBD" w:rsidRPr="00026A37" w:rsidRDefault="00287EBD" w:rsidP="00B80039">
            <w:pPr>
              <w:spacing w:before="20" w:after="20"/>
              <w:jc w:val="center"/>
              <w:rPr>
                <w:b/>
                <w:sz w:val="20"/>
                <w:szCs w:val="20"/>
              </w:rPr>
            </w:pPr>
            <w:r w:rsidRPr="00026A37">
              <w:rPr>
                <w:b/>
                <w:color w:val="000000"/>
                <w:sz w:val="20"/>
                <w:szCs w:val="20"/>
              </w:rPr>
              <w:t>Lighting Type</w:t>
            </w:r>
          </w:p>
        </w:tc>
        <w:tc>
          <w:tcPr>
            <w:tcW w:w="360" w:type="dxa"/>
            <w:shd w:val="clear" w:color="auto" w:fill="F2F2F2" w:themeFill="background1" w:themeFillShade="F2"/>
          </w:tcPr>
          <w:p w14:paraId="4AF444C8" w14:textId="37158295" w:rsidR="00287EBD" w:rsidRPr="00026A37" w:rsidRDefault="00287EBD" w:rsidP="00B80039">
            <w:pPr>
              <w:spacing w:before="20" w:after="20"/>
              <w:jc w:val="center"/>
              <w:rPr>
                <w:b/>
                <w:color w:val="000000"/>
                <w:sz w:val="20"/>
                <w:szCs w:val="20"/>
              </w:rPr>
            </w:pPr>
            <w:r>
              <w:rPr>
                <w:b/>
                <w:color w:val="000000"/>
                <w:sz w:val="20"/>
                <w:szCs w:val="20"/>
              </w:rPr>
              <w:t>PA</w:t>
            </w:r>
          </w:p>
        </w:tc>
        <w:tc>
          <w:tcPr>
            <w:tcW w:w="1980" w:type="dxa"/>
            <w:shd w:val="clear" w:color="auto" w:fill="F2F2F2" w:themeFill="background1" w:themeFillShade="F2"/>
            <w:noWrap/>
            <w:tcMar>
              <w:top w:w="0" w:type="dxa"/>
              <w:left w:w="108" w:type="dxa"/>
              <w:bottom w:w="0" w:type="dxa"/>
              <w:right w:w="108" w:type="dxa"/>
            </w:tcMar>
            <w:vAlign w:val="bottom"/>
            <w:hideMark/>
          </w:tcPr>
          <w:p w14:paraId="572A0C2A" w14:textId="2E59ED60" w:rsidR="00287EBD" w:rsidRPr="00026A37" w:rsidRDefault="00287EBD" w:rsidP="00B80039">
            <w:pPr>
              <w:spacing w:before="20" w:after="20"/>
              <w:jc w:val="center"/>
              <w:rPr>
                <w:b/>
                <w:sz w:val="20"/>
                <w:szCs w:val="20"/>
              </w:rPr>
            </w:pPr>
            <w:r w:rsidRPr="00026A37">
              <w:rPr>
                <w:b/>
                <w:color w:val="000000"/>
                <w:sz w:val="20"/>
                <w:szCs w:val="20"/>
              </w:rPr>
              <w:t>Building Vintage and HVAC</w:t>
            </w:r>
          </w:p>
        </w:tc>
        <w:tc>
          <w:tcPr>
            <w:tcW w:w="3568" w:type="dxa"/>
            <w:shd w:val="clear" w:color="auto" w:fill="F2F2F2" w:themeFill="background1" w:themeFillShade="F2"/>
            <w:vAlign w:val="bottom"/>
          </w:tcPr>
          <w:p w14:paraId="0321885E" w14:textId="77777777" w:rsidR="00287EBD" w:rsidRPr="00026A37" w:rsidRDefault="00287EBD" w:rsidP="00B80039">
            <w:pPr>
              <w:spacing w:before="20" w:after="20"/>
              <w:jc w:val="center"/>
              <w:rPr>
                <w:b/>
                <w:color w:val="000000"/>
                <w:sz w:val="20"/>
                <w:szCs w:val="20"/>
              </w:rPr>
            </w:pPr>
            <w:r w:rsidRPr="00026A37">
              <w:rPr>
                <w:b/>
                <w:color w:val="000000"/>
                <w:sz w:val="20"/>
                <w:szCs w:val="20"/>
              </w:rPr>
              <w:t>Source</w:t>
            </w:r>
          </w:p>
        </w:tc>
      </w:tr>
      <w:tr w:rsidR="00287EBD" w:rsidRPr="00026A37" w14:paraId="485AF0EB" w14:textId="77777777" w:rsidTr="00345E29">
        <w:trPr>
          <w:trHeight w:val="187"/>
        </w:trPr>
        <w:tc>
          <w:tcPr>
            <w:tcW w:w="1085" w:type="dxa"/>
            <w:shd w:val="clear" w:color="auto" w:fill="auto"/>
            <w:vAlign w:val="center"/>
          </w:tcPr>
          <w:p w14:paraId="1EC77DE7" w14:textId="77777777" w:rsidR="00287EBD" w:rsidRPr="00026A37" w:rsidRDefault="00287EBD" w:rsidP="00B80039">
            <w:pPr>
              <w:spacing w:before="20" w:after="20"/>
              <w:ind w:left="100"/>
              <w:rPr>
                <w:color w:val="000000"/>
                <w:sz w:val="20"/>
                <w:szCs w:val="20"/>
                <w:shd w:val="clear" w:color="auto" w:fill="FFFF00"/>
              </w:rPr>
            </w:pPr>
            <w:r w:rsidRPr="00026A37">
              <w:rPr>
                <w:color w:val="000000"/>
                <w:sz w:val="20"/>
                <w:szCs w:val="20"/>
              </w:rPr>
              <w:t>Commercial</w:t>
            </w:r>
          </w:p>
        </w:tc>
        <w:tc>
          <w:tcPr>
            <w:tcW w:w="2250" w:type="dxa"/>
            <w:shd w:val="clear" w:color="auto" w:fill="auto"/>
            <w:noWrap/>
            <w:tcMar>
              <w:top w:w="0" w:type="dxa"/>
              <w:left w:w="108" w:type="dxa"/>
              <w:bottom w:w="0" w:type="dxa"/>
              <w:right w:w="108" w:type="dxa"/>
            </w:tcMar>
            <w:vAlign w:val="center"/>
            <w:hideMark/>
          </w:tcPr>
          <w:p w14:paraId="6635C3C2" w14:textId="77777777" w:rsidR="00287EBD" w:rsidRPr="00026A37" w:rsidRDefault="00287EBD" w:rsidP="00B80039">
            <w:pPr>
              <w:spacing w:before="20" w:after="20"/>
              <w:rPr>
                <w:sz w:val="20"/>
                <w:szCs w:val="20"/>
              </w:rPr>
            </w:pPr>
            <w:r w:rsidRPr="00026A37">
              <w:rPr>
                <w:sz w:val="20"/>
                <w:szCs w:val="20"/>
              </w:rPr>
              <w:t>Indoor Linear fluorescent lamps (Hardwired)</w:t>
            </w:r>
          </w:p>
        </w:tc>
        <w:tc>
          <w:tcPr>
            <w:tcW w:w="360" w:type="dxa"/>
            <w:vAlign w:val="center"/>
          </w:tcPr>
          <w:p w14:paraId="3F537945" w14:textId="309BACF9" w:rsidR="00287EBD" w:rsidRPr="00026A37" w:rsidRDefault="00287EBD" w:rsidP="00345E29">
            <w:pPr>
              <w:spacing w:before="20" w:after="20"/>
              <w:jc w:val="center"/>
              <w:rPr>
                <w:color w:val="000000"/>
                <w:sz w:val="20"/>
                <w:szCs w:val="20"/>
              </w:rPr>
            </w:pPr>
            <w:r>
              <w:rPr>
                <w:color w:val="000000"/>
                <w:sz w:val="20"/>
                <w:szCs w:val="20"/>
              </w:rPr>
              <w:t>Any</w:t>
            </w:r>
          </w:p>
        </w:tc>
        <w:tc>
          <w:tcPr>
            <w:tcW w:w="1980" w:type="dxa"/>
            <w:shd w:val="clear" w:color="auto" w:fill="auto"/>
            <w:noWrap/>
            <w:tcMar>
              <w:top w:w="0" w:type="dxa"/>
              <w:left w:w="108" w:type="dxa"/>
              <w:bottom w:w="0" w:type="dxa"/>
              <w:right w:w="108" w:type="dxa"/>
            </w:tcMar>
            <w:vAlign w:val="center"/>
            <w:hideMark/>
          </w:tcPr>
          <w:p w14:paraId="37A3D633" w14:textId="7C8CB108" w:rsidR="00287EBD" w:rsidRPr="00026A37" w:rsidRDefault="00287EBD" w:rsidP="00B80039">
            <w:pPr>
              <w:spacing w:before="20" w:after="20"/>
              <w:rPr>
                <w:sz w:val="20"/>
                <w:szCs w:val="20"/>
              </w:rPr>
            </w:pPr>
            <w:r w:rsidRPr="00026A37">
              <w:rPr>
                <w:color w:val="000000"/>
                <w:sz w:val="20"/>
                <w:szCs w:val="20"/>
              </w:rPr>
              <w:t>Existing, Commercial Weighted</w:t>
            </w:r>
          </w:p>
        </w:tc>
        <w:tc>
          <w:tcPr>
            <w:tcW w:w="3568" w:type="dxa"/>
            <w:vAlign w:val="center"/>
          </w:tcPr>
          <w:p w14:paraId="235D2B82" w14:textId="3CF0897A" w:rsidR="00287EBD" w:rsidRPr="00026A37" w:rsidRDefault="00287EBD" w:rsidP="00B80039">
            <w:pPr>
              <w:spacing w:before="20" w:after="20"/>
              <w:ind w:left="90"/>
              <w:rPr>
                <w:color w:val="000000"/>
                <w:sz w:val="18"/>
                <w:szCs w:val="20"/>
              </w:rPr>
            </w:pPr>
            <w:r w:rsidRPr="00026A37">
              <w:rPr>
                <w:sz w:val="18"/>
                <w:szCs w:val="20"/>
              </w:rPr>
              <w:t>California Public Utilities Commission (CPUC). 20</w:t>
            </w:r>
            <w:r>
              <w:rPr>
                <w:sz w:val="18"/>
                <w:szCs w:val="20"/>
              </w:rPr>
              <w:t>20</w:t>
            </w:r>
            <w:r w:rsidRPr="00026A37">
              <w:rPr>
                <w:sz w:val="18"/>
                <w:szCs w:val="20"/>
              </w:rPr>
              <w:t>. "SupportTable_2020-Com-InLtg.</w:t>
            </w:r>
            <w:r>
              <w:rPr>
                <w:sz w:val="18"/>
                <w:szCs w:val="20"/>
              </w:rPr>
              <w:t>csv</w:t>
            </w:r>
            <w:r w:rsidRPr="00026A37">
              <w:rPr>
                <w:sz w:val="18"/>
                <w:szCs w:val="20"/>
              </w:rPr>
              <w:t>."</w:t>
            </w:r>
          </w:p>
        </w:tc>
      </w:tr>
      <w:tr w:rsidR="00287EBD" w:rsidRPr="00026A37" w14:paraId="78936AAB" w14:textId="77777777" w:rsidTr="00345E29">
        <w:trPr>
          <w:trHeight w:val="232"/>
        </w:trPr>
        <w:tc>
          <w:tcPr>
            <w:tcW w:w="1085" w:type="dxa"/>
            <w:shd w:val="clear" w:color="auto" w:fill="FFFFFF"/>
            <w:vAlign w:val="center"/>
          </w:tcPr>
          <w:p w14:paraId="63D94747" w14:textId="77777777" w:rsidR="00287EBD" w:rsidRPr="00026A37" w:rsidRDefault="00287EBD" w:rsidP="00B80039">
            <w:pPr>
              <w:spacing w:before="20" w:after="20"/>
              <w:ind w:left="100"/>
              <w:rPr>
                <w:color w:val="000000"/>
                <w:sz w:val="20"/>
                <w:szCs w:val="20"/>
              </w:rPr>
            </w:pPr>
            <w:r w:rsidRPr="00026A37">
              <w:rPr>
                <w:color w:val="000000"/>
                <w:sz w:val="20"/>
                <w:szCs w:val="20"/>
              </w:rPr>
              <w:t>Residential</w:t>
            </w:r>
          </w:p>
        </w:tc>
        <w:tc>
          <w:tcPr>
            <w:tcW w:w="2250" w:type="dxa"/>
            <w:shd w:val="clear" w:color="auto" w:fill="auto"/>
            <w:noWrap/>
            <w:tcMar>
              <w:top w:w="0" w:type="dxa"/>
              <w:left w:w="108" w:type="dxa"/>
              <w:bottom w:w="0" w:type="dxa"/>
              <w:right w:w="108" w:type="dxa"/>
            </w:tcMar>
            <w:vAlign w:val="center"/>
            <w:hideMark/>
          </w:tcPr>
          <w:p w14:paraId="21905BD1" w14:textId="77777777" w:rsidR="00287EBD" w:rsidRPr="00026A37" w:rsidRDefault="00287EBD" w:rsidP="00B80039">
            <w:pPr>
              <w:spacing w:before="20" w:after="20"/>
              <w:rPr>
                <w:sz w:val="20"/>
                <w:szCs w:val="20"/>
              </w:rPr>
            </w:pPr>
            <w:r w:rsidRPr="00026A37">
              <w:rPr>
                <w:color w:val="000000"/>
                <w:sz w:val="20"/>
                <w:szCs w:val="20"/>
              </w:rPr>
              <w:t>Indoor Non-CFL lamps and fixtures (Screw-in)</w:t>
            </w:r>
          </w:p>
        </w:tc>
        <w:tc>
          <w:tcPr>
            <w:tcW w:w="360" w:type="dxa"/>
            <w:vAlign w:val="center"/>
          </w:tcPr>
          <w:p w14:paraId="00ACC8B6" w14:textId="62E4F786" w:rsidR="00287EBD" w:rsidRPr="00026A37" w:rsidRDefault="00287EBD" w:rsidP="00345E29">
            <w:pPr>
              <w:spacing w:before="20" w:after="20"/>
              <w:jc w:val="center"/>
              <w:rPr>
                <w:color w:val="000000"/>
                <w:sz w:val="20"/>
                <w:szCs w:val="20"/>
              </w:rPr>
            </w:pPr>
            <w:r>
              <w:rPr>
                <w:color w:val="000000"/>
                <w:sz w:val="20"/>
                <w:szCs w:val="20"/>
              </w:rPr>
              <w:t>Any</w:t>
            </w:r>
          </w:p>
        </w:tc>
        <w:tc>
          <w:tcPr>
            <w:tcW w:w="1980" w:type="dxa"/>
            <w:shd w:val="clear" w:color="auto" w:fill="auto"/>
            <w:noWrap/>
            <w:tcMar>
              <w:top w:w="0" w:type="dxa"/>
              <w:left w:w="108" w:type="dxa"/>
              <w:bottom w:w="0" w:type="dxa"/>
              <w:right w:w="108" w:type="dxa"/>
            </w:tcMar>
            <w:vAlign w:val="center"/>
            <w:hideMark/>
          </w:tcPr>
          <w:p w14:paraId="3A1F1F6B" w14:textId="0060125A" w:rsidR="00287EBD" w:rsidRPr="00026A37" w:rsidRDefault="00287EBD" w:rsidP="00B80039">
            <w:pPr>
              <w:spacing w:before="20" w:after="20"/>
              <w:rPr>
                <w:sz w:val="20"/>
                <w:szCs w:val="20"/>
              </w:rPr>
            </w:pPr>
            <w:r w:rsidRPr="00026A37">
              <w:rPr>
                <w:color w:val="000000"/>
                <w:sz w:val="20"/>
                <w:szCs w:val="20"/>
              </w:rPr>
              <w:t>Existing, Residential Weighted</w:t>
            </w:r>
          </w:p>
        </w:tc>
        <w:tc>
          <w:tcPr>
            <w:tcW w:w="3568" w:type="dxa"/>
            <w:vAlign w:val="center"/>
          </w:tcPr>
          <w:p w14:paraId="57051214" w14:textId="72D6D8FF" w:rsidR="00287EBD" w:rsidRPr="00026A37" w:rsidRDefault="00287EBD" w:rsidP="00B80039">
            <w:pPr>
              <w:spacing w:before="20" w:after="20"/>
              <w:ind w:left="90"/>
              <w:rPr>
                <w:color w:val="000000"/>
                <w:sz w:val="18"/>
                <w:szCs w:val="20"/>
              </w:rPr>
            </w:pPr>
            <w:r w:rsidRPr="00026A37">
              <w:rPr>
                <w:sz w:val="18"/>
                <w:szCs w:val="20"/>
              </w:rPr>
              <w:t>California Public Utilities Commission (CPUC). 20</w:t>
            </w:r>
            <w:r>
              <w:rPr>
                <w:sz w:val="18"/>
                <w:szCs w:val="20"/>
              </w:rPr>
              <w:t>20</w:t>
            </w:r>
            <w:r w:rsidRPr="00026A37">
              <w:rPr>
                <w:sz w:val="18"/>
                <w:szCs w:val="20"/>
              </w:rPr>
              <w:t>. "SupportTable_2020-Res-InLtg.</w:t>
            </w:r>
            <w:r>
              <w:rPr>
                <w:sz w:val="18"/>
                <w:szCs w:val="20"/>
              </w:rPr>
              <w:t>csv</w:t>
            </w:r>
            <w:r w:rsidRPr="00026A37">
              <w:rPr>
                <w:sz w:val="18"/>
                <w:szCs w:val="20"/>
              </w:rPr>
              <w:t>."</w:t>
            </w:r>
          </w:p>
        </w:tc>
      </w:tr>
    </w:tbl>
    <w:p w14:paraId="4A70276B" w14:textId="77777777" w:rsidR="00CF7FBF" w:rsidRDefault="00CF7FBF" w:rsidP="00CF7FBF">
      <w:pPr>
        <w:rPr>
          <w:rFonts w:eastAsia="Times New Roman"/>
          <w:sz w:val="24"/>
        </w:rPr>
      </w:pPr>
    </w:p>
    <w:p w14:paraId="40095254" w14:textId="7588E4DA" w:rsidR="0094495E" w:rsidRDefault="0094495E" w:rsidP="0094495E">
      <w:r>
        <w:t xml:space="preserve">The sources of the input parameters for the electric energy savings calculation are provided </w:t>
      </w:r>
      <w:r w:rsidR="009657F4">
        <w:t>below</w:t>
      </w:r>
      <w:r>
        <w:t>.</w:t>
      </w:r>
      <w:bookmarkStart w:id="48" w:name="_Ref497930669"/>
    </w:p>
    <w:bookmarkEnd w:id="48"/>
    <w:p w14:paraId="40FAF12C" w14:textId="350FFF27" w:rsidR="00CF7FBF" w:rsidRPr="001554FB" w:rsidRDefault="00CF7FBF">
      <w:pPr>
        <w:pStyle w:val="Caption"/>
      </w:pPr>
      <w:r w:rsidRPr="001554FB">
        <w:t>LED T8 Replacement Lamps UL Type A</w:t>
      </w:r>
      <w:r>
        <w:t xml:space="preserve"> Electric Energy Savings Parameters</w:t>
      </w:r>
    </w:p>
    <w:tbl>
      <w:tblPr>
        <w:tblW w:w="9242"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47"/>
        <w:gridCol w:w="2705"/>
        <w:gridCol w:w="3590"/>
      </w:tblGrid>
      <w:tr w:rsidR="00CF7FBF" w:rsidRPr="00500C4E" w14:paraId="01C7C803" w14:textId="77777777" w:rsidTr="006745E0">
        <w:trPr>
          <w:cantSplit/>
          <w:trHeight w:val="20"/>
          <w:tblHeader/>
        </w:trPr>
        <w:tc>
          <w:tcPr>
            <w:tcW w:w="2947" w:type="dxa"/>
            <w:shd w:val="clear" w:color="auto" w:fill="F2F2F2" w:themeFill="background1" w:themeFillShade="F2"/>
            <w:vAlign w:val="bottom"/>
          </w:tcPr>
          <w:p w14:paraId="7602F0E2" w14:textId="77777777" w:rsidR="00CF7FBF" w:rsidRPr="00694410" w:rsidRDefault="00CF7FBF" w:rsidP="006745E0">
            <w:pPr>
              <w:spacing w:before="0" w:after="0" w:line="240" w:lineRule="auto"/>
              <w:jc w:val="center"/>
              <w:rPr>
                <w:rFonts w:cstheme="minorHAnsi"/>
                <w:b/>
                <w:sz w:val="20"/>
                <w:szCs w:val="20"/>
              </w:rPr>
            </w:pPr>
            <w:r>
              <w:rPr>
                <w:rFonts w:cstheme="minorHAnsi"/>
                <w:b/>
                <w:sz w:val="20"/>
                <w:szCs w:val="20"/>
              </w:rPr>
              <w:t>Parameter</w:t>
            </w:r>
          </w:p>
        </w:tc>
        <w:tc>
          <w:tcPr>
            <w:tcW w:w="2705" w:type="dxa"/>
            <w:shd w:val="clear" w:color="auto" w:fill="F2F2F2" w:themeFill="background1" w:themeFillShade="F2"/>
          </w:tcPr>
          <w:p w14:paraId="69E00E60" w14:textId="77777777" w:rsidR="00CF7FBF" w:rsidRDefault="00CF7FBF" w:rsidP="006745E0">
            <w:pPr>
              <w:spacing w:before="0" w:after="0" w:line="240" w:lineRule="auto"/>
              <w:jc w:val="center"/>
              <w:rPr>
                <w:rFonts w:cstheme="minorHAnsi"/>
                <w:b/>
                <w:sz w:val="20"/>
                <w:szCs w:val="20"/>
              </w:rPr>
            </w:pPr>
            <w:r>
              <w:rPr>
                <w:rFonts w:cstheme="minorHAnsi"/>
                <w:b/>
                <w:sz w:val="20"/>
                <w:szCs w:val="20"/>
              </w:rPr>
              <w:t>Value</w:t>
            </w:r>
          </w:p>
        </w:tc>
        <w:tc>
          <w:tcPr>
            <w:tcW w:w="3590" w:type="dxa"/>
            <w:shd w:val="clear" w:color="auto" w:fill="F2F2F2" w:themeFill="background1" w:themeFillShade="F2"/>
          </w:tcPr>
          <w:p w14:paraId="539477E1" w14:textId="77777777" w:rsidR="00CF7FBF" w:rsidRPr="00694410" w:rsidRDefault="00CF7FBF" w:rsidP="006745E0">
            <w:pPr>
              <w:spacing w:before="0" w:after="0" w:line="240" w:lineRule="auto"/>
              <w:jc w:val="center"/>
              <w:rPr>
                <w:rFonts w:cstheme="minorHAnsi"/>
                <w:b/>
                <w:sz w:val="20"/>
                <w:szCs w:val="20"/>
              </w:rPr>
            </w:pPr>
            <w:r>
              <w:rPr>
                <w:rFonts w:cstheme="minorHAnsi"/>
                <w:b/>
                <w:sz w:val="20"/>
                <w:szCs w:val="20"/>
              </w:rPr>
              <w:t>Source</w:t>
            </w:r>
          </w:p>
        </w:tc>
      </w:tr>
      <w:tr w:rsidR="00CF7FBF" w:rsidRPr="00500C4E" w14:paraId="23610677" w14:textId="77777777" w:rsidTr="006745E0">
        <w:trPr>
          <w:cantSplit/>
          <w:trHeight w:val="20"/>
        </w:trPr>
        <w:tc>
          <w:tcPr>
            <w:tcW w:w="2947" w:type="dxa"/>
            <w:vAlign w:val="center"/>
          </w:tcPr>
          <w:p w14:paraId="6850C353" w14:textId="374F9A03" w:rsidR="00CF7FBF" w:rsidRPr="006745E0" w:rsidRDefault="00811365" w:rsidP="006745E0">
            <w:pPr>
              <w:spacing w:before="0" w:after="0" w:line="240" w:lineRule="auto"/>
              <w:rPr>
                <w:sz w:val="20"/>
                <w:szCs w:val="20"/>
              </w:rPr>
            </w:pPr>
            <w:r>
              <w:rPr>
                <w:sz w:val="20"/>
                <w:szCs w:val="20"/>
              </w:rPr>
              <w:t>Baseline</w:t>
            </w:r>
            <w:r w:rsidR="00CF7FBF" w:rsidRPr="006745E0">
              <w:rPr>
                <w:sz w:val="20"/>
                <w:szCs w:val="20"/>
              </w:rPr>
              <w:t xml:space="preserve"> weighted average lamp wattage (W)</w:t>
            </w:r>
          </w:p>
        </w:tc>
        <w:tc>
          <w:tcPr>
            <w:tcW w:w="2705" w:type="dxa"/>
            <w:vAlign w:val="center"/>
          </w:tcPr>
          <w:p w14:paraId="7D6235BF" w14:textId="77777777" w:rsidR="00CF7FBF" w:rsidRPr="006745E0" w:rsidRDefault="00CF7FBF" w:rsidP="006745E0">
            <w:pPr>
              <w:spacing w:before="0" w:after="0" w:line="240" w:lineRule="auto"/>
              <w:jc w:val="center"/>
              <w:rPr>
                <w:sz w:val="20"/>
                <w:szCs w:val="20"/>
              </w:rPr>
            </w:pPr>
            <w:r w:rsidRPr="006745E0">
              <w:rPr>
                <w:sz w:val="20"/>
                <w:szCs w:val="20"/>
              </w:rPr>
              <w:t xml:space="preserve">26.68 </w:t>
            </w:r>
          </w:p>
        </w:tc>
        <w:tc>
          <w:tcPr>
            <w:tcW w:w="3590" w:type="dxa"/>
            <w:vMerge w:val="restart"/>
            <w:vAlign w:val="center"/>
          </w:tcPr>
          <w:p w14:paraId="3BB4D520" w14:textId="7C6E70F2" w:rsidR="00CF7FBF" w:rsidRPr="008F56A5" w:rsidRDefault="00A43A8D" w:rsidP="006745E0">
            <w:pPr>
              <w:pStyle w:val="FootnoteText"/>
              <w:spacing w:before="0" w:after="0" w:line="240" w:lineRule="auto"/>
              <w:rPr>
                <w:szCs w:val="18"/>
                <w:highlight w:val="yellow"/>
              </w:rPr>
            </w:pPr>
            <w:r w:rsidRPr="00A43A8D">
              <w:t>Southern California Edison (SCE). 20</w:t>
            </w:r>
            <w:r w:rsidR="00287EBD">
              <w:t>20</w:t>
            </w:r>
            <w:r w:rsidRPr="00A43A8D">
              <w:t>. “</w:t>
            </w:r>
            <w:r w:rsidR="00287EBD">
              <w:t>SWLG009-02</w:t>
            </w:r>
            <w:r w:rsidRPr="00A43A8D">
              <w:t xml:space="preserve"> TLED Delta Watts Calculation.xlsx.”</w:t>
            </w:r>
          </w:p>
        </w:tc>
      </w:tr>
      <w:tr w:rsidR="00CF7FBF" w:rsidRPr="00500C4E" w14:paraId="3E8476DA" w14:textId="77777777" w:rsidTr="006745E0">
        <w:trPr>
          <w:cantSplit/>
          <w:trHeight w:val="20"/>
        </w:trPr>
        <w:tc>
          <w:tcPr>
            <w:tcW w:w="2947" w:type="dxa"/>
            <w:vAlign w:val="center"/>
          </w:tcPr>
          <w:p w14:paraId="5C41D4E7" w14:textId="77777777" w:rsidR="00CF7FBF" w:rsidRPr="006745E0" w:rsidRDefault="00CF7FBF" w:rsidP="006745E0">
            <w:pPr>
              <w:spacing w:before="0" w:after="0" w:line="240" w:lineRule="auto"/>
              <w:rPr>
                <w:sz w:val="20"/>
                <w:szCs w:val="20"/>
              </w:rPr>
            </w:pPr>
            <w:r w:rsidRPr="006745E0">
              <w:rPr>
                <w:sz w:val="20"/>
                <w:szCs w:val="20"/>
              </w:rPr>
              <w:t>Non-Res, Dwelling and Common Area: Measure case weighted average lamp wattage (W)</w:t>
            </w:r>
          </w:p>
        </w:tc>
        <w:tc>
          <w:tcPr>
            <w:tcW w:w="2705" w:type="dxa"/>
            <w:vAlign w:val="center"/>
          </w:tcPr>
          <w:p w14:paraId="64917B4E" w14:textId="77777777" w:rsidR="00CF7FBF" w:rsidRPr="006745E0" w:rsidRDefault="00CF7FBF" w:rsidP="006745E0">
            <w:pPr>
              <w:spacing w:before="0" w:after="0" w:line="240" w:lineRule="auto"/>
              <w:jc w:val="center"/>
              <w:rPr>
                <w:sz w:val="20"/>
                <w:szCs w:val="20"/>
              </w:rPr>
            </w:pPr>
            <w:r w:rsidRPr="006745E0">
              <w:rPr>
                <w:sz w:val="20"/>
                <w:szCs w:val="20"/>
              </w:rPr>
              <w:t xml:space="preserve">14.58 </w:t>
            </w:r>
          </w:p>
        </w:tc>
        <w:tc>
          <w:tcPr>
            <w:tcW w:w="3590" w:type="dxa"/>
            <w:vMerge/>
            <w:vAlign w:val="center"/>
          </w:tcPr>
          <w:p w14:paraId="3C3453ED" w14:textId="77777777" w:rsidR="00CF7FBF" w:rsidRPr="00B267FC" w:rsidRDefault="00CF7FBF" w:rsidP="006745E0">
            <w:pPr>
              <w:pStyle w:val="FootnoteText"/>
              <w:spacing w:before="0" w:after="0" w:line="240" w:lineRule="auto"/>
              <w:rPr>
                <w:szCs w:val="18"/>
                <w:highlight w:val="yellow"/>
              </w:rPr>
            </w:pPr>
          </w:p>
        </w:tc>
      </w:tr>
      <w:tr w:rsidR="00CF7FBF" w:rsidRPr="00500C4E" w14:paraId="33E61D23" w14:textId="77777777" w:rsidTr="006745E0">
        <w:trPr>
          <w:cantSplit/>
          <w:trHeight w:val="20"/>
        </w:trPr>
        <w:tc>
          <w:tcPr>
            <w:tcW w:w="2947" w:type="dxa"/>
            <w:vAlign w:val="center"/>
          </w:tcPr>
          <w:p w14:paraId="7AD0552B" w14:textId="77777777" w:rsidR="00CF7FBF" w:rsidRPr="006745E0" w:rsidRDefault="00CF7FBF" w:rsidP="006745E0">
            <w:pPr>
              <w:spacing w:before="0" w:after="0" w:line="240" w:lineRule="auto"/>
              <w:rPr>
                <w:sz w:val="20"/>
                <w:szCs w:val="20"/>
              </w:rPr>
            </w:pPr>
            <w:r w:rsidRPr="006745E0">
              <w:rPr>
                <w:sz w:val="20"/>
                <w:szCs w:val="20"/>
              </w:rPr>
              <w:t>Parking Garage: Measure case weighted average lamp wattage (W)</w:t>
            </w:r>
          </w:p>
        </w:tc>
        <w:tc>
          <w:tcPr>
            <w:tcW w:w="2705" w:type="dxa"/>
            <w:vAlign w:val="center"/>
          </w:tcPr>
          <w:p w14:paraId="256059DE" w14:textId="78C71BD9" w:rsidR="00CF7FBF" w:rsidRPr="006745E0" w:rsidRDefault="0046345D" w:rsidP="006745E0">
            <w:pPr>
              <w:spacing w:before="0" w:after="0" w:line="240" w:lineRule="auto"/>
              <w:jc w:val="center"/>
              <w:rPr>
                <w:sz w:val="20"/>
                <w:szCs w:val="20"/>
              </w:rPr>
            </w:pPr>
            <w:r>
              <w:rPr>
                <w:sz w:val="20"/>
                <w:szCs w:val="20"/>
              </w:rPr>
              <w:t>14.40</w:t>
            </w:r>
          </w:p>
        </w:tc>
        <w:tc>
          <w:tcPr>
            <w:tcW w:w="3590" w:type="dxa"/>
            <w:vMerge/>
            <w:vAlign w:val="center"/>
          </w:tcPr>
          <w:p w14:paraId="7C646E3D" w14:textId="77777777" w:rsidR="00CF7FBF" w:rsidRPr="00B267FC" w:rsidRDefault="00CF7FBF" w:rsidP="006745E0">
            <w:pPr>
              <w:pStyle w:val="FootnoteText"/>
              <w:spacing w:before="0" w:after="0" w:line="240" w:lineRule="auto"/>
              <w:rPr>
                <w:szCs w:val="18"/>
                <w:highlight w:val="yellow"/>
              </w:rPr>
            </w:pPr>
          </w:p>
        </w:tc>
      </w:tr>
      <w:tr w:rsidR="00CF7FBF" w:rsidRPr="003F4B66" w14:paraId="3B2A6047" w14:textId="77777777" w:rsidTr="006745E0">
        <w:trPr>
          <w:cantSplit/>
          <w:trHeight w:val="20"/>
        </w:trPr>
        <w:tc>
          <w:tcPr>
            <w:tcW w:w="29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F88EAD" w14:textId="77777777" w:rsidR="00CF7FBF" w:rsidRPr="006745E0" w:rsidRDefault="00CF7FBF" w:rsidP="006745E0">
            <w:pPr>
              <w:spacing w:before="0" w:after="0" w:line="240" w:lineRule="auto"/>
              <w:rPr>
                <w:sz w:val="20"/>
                <w:szCs w:val="20"/>
              </w:rPr>
            </w:pPr>
            <w:r w:rsidRPr="006745E0">
              <w:rPr>
                <w:sz w:val="20"/>
                <w:szCs w:val="20"/>
              </w:rPr>
              <w:t>Annual hours of operation – commercial</w:t>
            </w:r>
          </w:p>
        </w:tc>
        <w:tc>
          <w:tcPr>
            <w:tcW w:w="27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8636D9" w14:textId="77777777" w:rsidR="00CF7FBF" w:rsidRPr="006745E0" w:rsidRDefault="00CF7FBF" w:rsidP="006745E0">
            <w:pPr>
              <w:spacing w:before="0" w:after="0" w:line="240" w:lineRule="auto"/>
              <w:rPr>
                <w:sz w:val="20"/>
                <w:szCs w:val="20"/>
              </w:rPr>
            </w:pPr>
            <w:r w:rsidRPr="006745E0">
              <w:rPr>
                <w:sz w:val="20"/>
                <w:szCs w:val="20"/>
              </w:rPr>
              <w:t>Varies by building type, lighting type and vintage</w:t>
            </w:r>
          </w:p>
        </w:tc>
        <w:tc>
          <w:tcPr>
            <w:tcW w:w="3590" w:type="dxa"/>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2EF2FEEC" w14:textId="33EFEF52" w:rsidR="00CF7FBF" w:rsidRPr="00FC0CA6" w:rsidRDefault="00CF7FBF" w:rsidP="006745E0">
            <w:pPr>
              <w:pStyle w:val="FootnoteText"/>
              <w:spacing w:before="0" w:after="0" w:line="240" w:lineRule="auto"/>
              <w:rPr>
                <w:szCs w:val="18"/>
              </w:rPr>
            </w:pPr>
            <w:r w:rsidRPr="003A0605">
              <w:t>California Public Utilities Commission (CPUC). 20</w:t>
            </w:r>
            <w:r w:rsidR="00287EBD">
              <w:t>20</w:t>
            </w:r>
            <w:r w:rsidRPr="003A0605">
              <w:t>. "SupportTable_2020-Com-InLtg.</w:t>
            </w:r>
            <w:r w:rsidR="00A43A8D">
              <w:t>csv</w:t>
            </w:r>
            <w:r w:rsidRPr="003A0605">
              <w:t>."</w:t>
            </w:r>
          </w:p>
        </w:tc>
      </w:tr>
      <w:tr w:rsidR="00CF7FBF" w:rsidRPr="003F4B66" w14:paraId="2AC2076F" w14:textId="77777777" w:rsidTr="006745E0">
        <w:trPr>
          <w:cantSplit/>
          <w:trHeight w:val="20"/>
        </w:trPr>
        <w:tc>
          <w:tcPr>
            <w:tcW w:w="29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BC54A4" w14:textId="77777777" w:rsidR="00CF7FBF" w:rsidRPr="006745E0" w:rsidRDefault="00CF7FBF" w:rsidP="006745E0">
            <w:pPr>
              <w:spacing w:before="0" w:after="0" w:line="240" w:lineRule="auto"/>
              <w:rPr>
                <w:sz w:val="20"/>
                <w:szCs w:val="20"/>
              </w:rPr>
            </w:pPr>
            <w:r w:rsidRPr="006745E0">
              <w:rPr>
                <w:sz w:val="20"/>
                <w:szCs w:val="20"/>
              </w:rPr>
              <w:t>Interactive effects multiplier - commercial</w:t>
            </w:r>
          </w:p>
        </w:tc>
        <w:tc>
          <w:tcPr>
            <w:tcW w:w="27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B07F10B" w14:textId="77777777" w:rsidR="00CF7FBF" w:rsidRPr="006745E0" w:rsidRDefault="00CF7FBF" w:rsidP="006745E0">
            <w:pPr>
              <w:spacing w:before="0" w:after="0" w:line="240" w:lineRule="auto"/>
              <w:rPr>
                <w:sz w:val="20"/>
                <w:szCs w:val="20"/>
              </w:rPr>
            </w:pPr>
            <w:r w:rsidRPr="006745E0">
              <w:rPr>
                <w:sz w:val="20"/>
                <w:szCs w:val="20"/>
              </w:rPr>
              <w:t>Varies by climate zone, building type, vintage, lighting type and vintage</w:t>
            </w:r>
          </w:p>
        </w:tc>
        <w:tc>
          <w:tcPr>
            <w:tcW w:w="3590" w:type="dxa"/>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0AB70831" w14:textId="16BCFCED" w:rsidR="00CF7FBF" w:rsidRPr="00FC0CA6" w:rsidRDefault="00CF7FBF" w:rsidP="006745E0">
            <w:pPr>
              <w:pStyle w:val="FootnoteText"/>
              <w:spacing w:before="0" w:after="0" w:line="240" w:lineRule="auto"/>
              <w:rPr>
                <w:szCs w:val="18"/>
              </w:rPr>
            </w:pPr>
            <w:r w:rsidRPr="003A0605">
              <w:t>California Public Utilities Commission (CPUC). 20</w:t>
            </w:r>
            <w:r w:rsidR="00287EBD">
              <w:t>20</w:t>
            </w:r>
            <w:r w:rsidRPr="003A0605">
              <w:t>. "SupportTable_2020-Com-InLtg.</w:t>
            </w:r>
            <w:r w:rsidR="00A43A8D">
              <w:t>csv</w:t>
            </w:r>
            <w:r w:rsidRPr="003A0605">
              <w:t>."</w:t>
            </w:r>
          </w:p>
        </w:tc>
      </w:tr>
      <w:tr w:rsidR="00CF7FBF" w:rsidRPr="003F4B66" w14:paraId="3CF58AAA" w14:textId="77777777" w:rsidTr="006745E0">
        <w:trPr>
          <w:cantSplit/>
          <w:trHeight w:val="20"/>
        </w:trPr>
        <w:tc>
          <w:tcPr>
            <w:tcW w:w="29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0A3F9AC" w14:textId="77777777" w:rsidR="00CF7FBF" w:rsidRPr="006745E0" w:rsidRDefault="00CF7FBF" w:rsidP="006745E0">
            <w:pPr>
              <w:spacing w:before="0" w:after="0" w:line="240" w:lineRule="auto"/>
              <w:rPr>
                <w:sz w:val="20"/>
                <w:szCs w:val="20"/>
              </w:rPr>
            </w:pPr>
            <w:r w:rsidRPr="006745E0">
              <w:rPr>
                <w:sz w:val="20"/>
                <w:szCs w:val="20"/>
              </w:rPr>
              <w:t>Annual hours of operation –residential</w:t>
            </w:r>
          </w:p>
        </w:tc>
        <w:tc>
          <w:tcPr>
            <w:tcW w:w="27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AE3F35" w14:textId="77777777" w:rsidR="00CF7FBF" w:rsidRPr="006745E0" w:rsidRDefault="00CF7FBF" w:rsidP="006745E0">
            <w:pPr>
              <w:spacing w:before="0" w:after="0" w:line="240" w:lineRule="auto"/>
              <w:rPr>
                <w:sz w:val="20"/>
                <w:szCs w:val="20"/>
              </w:rPr>
            </w:pPr>
            <w:r w:rsidRPr="006745E0">
              <w:rPr>
                <w:sz w:val="20"/>
                <w:szCs w:val="20"/>
              </w:rPr>
              <w:t>Varies by dwelling or common area space for multi-family/double-wide mobile homes</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BBBAAF" w14:textId="77777777" w:rsidR="00CF7FBF" w:rsidRPr="00FC0CA6" w:rsidRDefault="00CF7FBF" w:rsidP="006745E0">
            <w:pPr>
              <w:pStyle w:val="FootnoteText"/>
              <w:spacing w:before="0" w:after="0" w:line="240" w:lineRule="auto"/>
              <w:rPr>
                <w:szCs w:val="18"/>
              </w:rPr>
            </w:pPr>
            <w:r w:rsidRPr="00CB2139">
              <w:rPr>
                <w:color w:val="000000"/>
                <w:szCs w:val="18"/>
              </w:rPr>
              <w:t>California Public Utilities Commission (CPUC), Energy Division, Ex Ante Team. 2015. "2015 Workpaper Guidance- Lighting Retrofits</w:t>
            </w:r>
            <w:r>
              <w:rPr>
                <w:color w:val="000000"/>
                <w:szCs w:val="18"/>
              </w:rPr>
              <w:t>.</w:t>
            </w:r>
            <w:r w:rsidRPr="00CB2139">
              <w:rPr>
                <w:color w:val="000000"/>
                <w:szCs w:val="18"/>
              </w:rPr>
              <w:t>" Memorandum submitted to the California Energy Efficiency Program Administrators. January 27.</w:t>
            </w:r>
          </w:p>
        </w:tc>
      </w:tr>
      <w:tr w:rsidR="00CF7FBF" w:rsidRPr="003F4B66" w14:paraId="3676F2C7" w14:textId="77777777" w:rsidTr="006745E0">
        <w:trPr>
          <w:cantSplit/>
          <w:trHeight w:val="20"/>
        </w:trPr>
        <w:tc>
          <w:tcPr>
            <w:tcW w:w="29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2D5735A" w14:textId="77777777" w:rsidR="00CF7FBF" w:rsidRPr="006745E0" w:rsidRDefault="00CF7FBF" w:rsidP="006745E0">
            <w:pPr>
              <w:spacing w:before="0" w:after="0" w:line="240" w:lineRule="auto"/>
              <w:rPr>
                <w:sz w:val="20"/>
                <w:szCs w:val="20"/>
              </w:rPr>
            </w:pPr>
            <w:r w:rsidRPr="006745E0">
              <w:rPr>
                <w:sz w:val="20"/>
                <w:szCs w:val="20"/>
              </w:rPr>
              <w:t>Interactive effects multiplier - residential</w:t>
            </w:r>
          </w:p>
        </w:tc>
        <w:tc>
          <w:tcPr>
            <w:tcW w:w="27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1B70F99" w14:textId="77777777" w:rsidR="00CF7FBF" w:rsidRPr="006745E0" w:rsidRDefault="00CF7FBF" w:rsidP="006745E0">
            <w:pPr>
              <w:spacing w:before="0" w:after="0" w:line="240" w:lineRule="auto"/>
              <w:rPr>
                <w:sz w:val="20"/>
                <w:szCs w:val="20"/>
              </w:rPr>
            </w:pPr>
            <w:r w:rsidRPr="006745E0">
              <w:rPr>
                <w:sz w:val="20"/>
                <w:szCs w:val="20"/>
              </w:rPr>
              <w:t>Varies by climate zone, building type, and vintage</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6DE3A7F" w14:textId="6B3FC54B" w:rsidR="00CF7FBF" w:rsidRPr="00FC0CA6" w:rsidRDefault="00CF7FBF" w:rsidP="006745E0">
            <w:pPr>
              <w:pStyle w:val="FootnoteText"/>
              <w:spacing w:before="0" w:after="0" w:line="240" w:lineRule="auto"/>
              <w:rPr>
                <w:szCs w:val="18"/>
              </w:rPr>
            </w:pPr>
            <w:r w:rsidRPr="008A1E14">
              <w:t>California Public Utilities Commission (CPUC). 20</w:t>
            </w:r>
            <w:r w:rsidR="00287EBD">
              <w:t>20.</w:t>
            </w:r>
            <w:r w:rsidRPr="008A1E14">
              <w:t xml:space="preserve"> "SupportTable_2020-Res-InLtg.</w:t>
            </w:r>
            <w:r w:rsidR="00A43A8D">
              <w:t>csv</w:t>
            </w:r>
            <w:r w:rsidRPr="008A1E14">
              <w:t>."</w:t>
            </w:r>
          </w:p>
        </w:tc>
      </w:tr>
      <w:tr w:rsidR="00CF7FBF" w:rsidRPr="003F4B66" w14:paraId="75CD9DE4" w14:textId="77777777" w:rsidTr="006745E0">
        <w:trPr>
          <w:cantSplit/>
          <w:trHeight w:val="20"/>
        </w:trPr>
        <w:tc>
          <w:tcPr>
            <w:tcW w:w="29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4C9191" w14:textId="77777777" w:rsidR="00CF7FBF" w:rsidRPr="006745E0" w:rsidRDefault="00CF7FBF" w:rsidP="006745E0">
            <w:pPr>
              <w:spacing w:before="0" w:after="0" w:line="240" w:lineRule="auto"/>
              <w:rPr>
                <w:sz w:val="20"/>
                <w:szCs w:val="20"/>
              </w:rPr>
            </w:pPr>
            <w:r w:rsidRPr="006745E0">
              <w:rPr>
                <w:sz w:val="20"/>
                <w:szCs w:val="20"/>
              </w:rPr>
              <w:t>Annual hours of operation – parking garages</w:t>
            </w:r>
          </w:p>
        </w:tc>
        <w:tc>
          <w:tcPr>
            <w:tcW w:w="27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0790FE9" w14:textId="77777777" w:rsidR="00CF7FBF" w:rsidRPr="006745E0" w:rsidRDefault="00CF7FBF" w:rsidP="006745E0">
            <w:pPr>
              <w:spacing w:before="0" w:after="0" w:line="240" w:lineRule="auto"/>
              <w:jc w:val="center"/>
              <w:rPr>
                <w:sz w:val="20"/>
                <w:szCs w:val="20"/>
              </w:rPr>
            </w:pPr>
            <w:r w:rsidRPr="006745E0">
              <w:rPr>
                <w:sz w:val="20"/>
                <w:szCs w:val="20"/>
              </w:rPr>
              <w:t>2,613.75</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F644C3C" w14:textId="7D67C0D0" w:rsidR="00CF7FBF" w:rsidRPr="00A3514A" w:rsidRDefault="00A3514A" w:rsidP="00A3514A">
            <w:pPr>
              <w:spacing w:before="0" w:after="0" w:line="240" w:lineRule="auto"/>
              <w:rPr>
                <w:sz w:val="18"/>
                <w:highlight w:val="yellow"/>
              </w:rPr>
            </w:pPr>
            <w:bookmarkStart w:id="49" w:name="_Hlk6478757"/>
            <w:r w:rsidRPr="00A3514A">
              <w:rPr>
                <w:sz w:val="18"/>
              </w:rPr>
              <w:t>California Public Utilities Commission (CPUC), Energy Division. 2016. “Disposition for Workpaper SCE13LG123 revision 0.” September 30</w:t>
            </w:r>
            <w:bookmarkEnd w:id="49"/>
            <w:r w:rsidRPr="00A3514A">
              <w:rPr>
                <w:sz w:val="18"/>
              </w:rPr>
              <w:t xml:space="preserve">. </w:t>
            </w:r>
          </w:p>
        </w:tc>
      </w:tr>
      <w:tr w:rsidR="00CF7FBF" w:rsidRPr="003F4B66" w14:paraId="106661EE" w14:textId="77777777" w:rsidTr="006745E0">
        <w:trPr>
          <w:cantSplit/>
          <w:trHeight w:val="20"/>
        </w:trPr>
        <w:tc>
          <w:tcPr>
            <w:tcW w:w="29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E8E2B60" w14:textId="77777777" w:rsidR="00CF7FBF" w:rsidRPr="00A43A8D" w:rsidRDefault="00CF7FBF" w:rsidP="006745E0">
            <w:pPr>
              <w:spacing w:before="0" w:after="0" w:line="240" w:lineRule="auto"/>
              <w:rPr>
                <w:sz w:val="20"/>
                <w:szCs w:val="20"/>
              </w:rPr>
            </w:pPr>
            <w:r w:rsidRPr="00A43A8D">
              <w:rPr>
                <w:sz w:val="20"/>
                <w:szCs w:val="20"/>
              </w:rPr>
              <w:t>Interactive effects multiplier – parking garages</w:t>
            </w:r>
          </w:p>
          <w:p w14:paraId="6C2F3D05" w14:textId="02E62780" w:rsidR="00A43A8D" w:rsidRPr="00A43A8D" w:rsidRDefault="00A43A8D" w:rsidP="006745E0">
            <w:pPr>
              <w:spacing w:before="0" w:after="0" w:line="240" w:lineRule="auto"/>
              <w:rPr>
                <w:sz w:val="20"/>
                <w:szCs w:val="20"/>
              </w:rPr>
            </w:pPr>
            <w:r w:rsidRPr="00A43A8D">
              <w:rPr>
                <w:sz w:val="20"/>
                <w:szCs w:val="20"/>
              </w:rPr>
              <w:t>(interactive effects multiplier for unconditioned spaces)</w:t>
            </w:r>
          </w:p>
        </w:tc>
        <w:tc>
          <w:tcPr>
            <w:tcW w:w="27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44D922" w14:textId="77777777" w:rsidR="00CF7FBF" w:rsidRPr="006745E0" w:rsidRDefault="00CF7FBF" w:rsidP="006745E0">
            <w:pPr>
              <w:spacing w:before="0" w:after="0" w:line="240" w:lineRule="auto"/>
              <w:jc w:val="center"/>
              <w:rPr>
                <w:sz w:val="20"/>
                <w:szCs w:val="20"/>
              </w:rPr>
            </w:pPr>
            <w:r w:rsidRPr="006745E0">
              <w:rPr>
                <w:sz w:val="20"/>
                <w:szCs w:val="20"/>
              </w:rPr>
              <w:t>1.0</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B4AD1FB" w14:textId="0880CD1A" w:rsidR="00CF7FBF" w:rsidRPr="000527D0" w:rsidRDefault="00A43A8D" w:rsidP="006745E0">
            <w:pPr>
              <w:pStyle w:val="FootnoteText"/>
              <w:spacing w:before="0" w:after="0" w:line="240" w:lineRule="auto"/>
            </w:pPr>
            <w:r w:rsidRPr="003A0605">
              <w:t>California Public Utilities Commission (CPUC). 20</w:t>
            </w:r>
            <w:r w:rsidR="00287EBD">
              <w:t>20</w:t>
            </w:r>
            <w:r w:rsidRPr="003A0605">
              <w:t>. "SupportTable_2020-Com-InLtg.</w:t>
            </w:r>
            <w:r>
              <w:t>csv</w:t>
            </w:r>
            <w:r w:rsidRPr="003A0605">
              <w:t>."</w:t>
            </w:r>
          </w:p>
        </w:tc>
      </w:tr>
    </w:tbl>
    <w:p w14:paraId="42C78F79" w14:textId="77777777" w:rsidR="00CF7FBF" w:rsidRDefault="00CF7FBF" w:rsidP="00CF7FBF"/>
    <w:p w14:paraId="513FF109" w14:textId="6BA6ACF0" w:rsidR="003B1C2D" w:rsidRDefault="003B1C2D" w:rsidP="003B1C2D">
      <w:pPr>
        <w:rPr>
          <w:rFonts w:asciiTheme="minorHAnsi" w:eastAsia="Times New Roman" w:hAnsiTheme="minorHAnsi" w:cs="Times New Roman"/>
        </w:rPr>
      </w:pPr>
      <w:r>
        <w:rPr>
          <w:b/>
          <w:bCs/>
        </w:rPr>
        <w:t>Parking garage annual hours of operation:</w:t>
      </w:r>
      <w:r>
        <w:t xml:space="preserve"> Parking garage hours of operation represent the equivalent full-load hours (EFLH) and </w:t>
      </w:r>
      <w:r w:rsidR="00EA7548">
        <w:t>was</w:t>
      </w:r>
      <w:r>
        <w:t xml:space="preserve"> calculated as the average of the allowed low power usage at 35% power</w:t>
      </w:r>
      <w:r>
        <w:rPr>
          <w:rStyle w:val="FootnoteReference"/>
        </w:rPr>
        <w:footnoteReference w:id="19"/>
      </w:r>
      <w:r>
        <w:t xml:space="preserve"> and lower-power usage at 20% power.</w:t>
      </w:r>
      <w:r>
        <w:rPr>
          <w:rStyle w:val="FootnoteReference"/>
        </w:rPr>
        <w:footnoteReference w:id="20"/>
      </w:r>
      <w:r>
        <w:t xml:space="preserve"> The calculated mid-point or average of 20% and 35% is 27.5%, which is within the range allowed for the dimmed-power state by Title24. Calculations </w:t>
      </w:r>
      <w:r w:rsidR="0041408F">
        <w:t xml:space="preserve">for a lamp replacement in a parking garage conforms to the </w:t>
      </w:r>
      <w:bookmarkStart w:id="50" w:name="_Hlk6478951"/>
      <w:r w:rsidR="0041408F">
        <w:t xml:space="preserve">Disposition for Workpapers Covering Exterior LED </w:t>
      </w:r>
      <w:r w:rsidR="0041408F">
        <w:lastRenderedPageBreak/>
        <w:t>Lighting Fixtures,</w:t>
      </w:r>
      <w:r>
        <w:t xml:space="preserve"> issued March 1, 2017</w:t>
      </w:r>
      <w:bookmarkEnd w:id="50"/>
      <w:r>
        <w:t>.</w:t>
      </w:r>
      <w:r w:rsidR="00A43A8D">
        <w:rPr>
          <w:rStyle w:val="FootnoteReference"/>
        </w:rPr>
        <w:footnoteReference w:id="21"/>
      </w:r>
      <w:r>
        <w:t xml:space="preserve"> </w:t>
      </w:r>
      <w:r w:rsidR="00C82F03">
        <w:t>(</w:t>
      </w:r>
      <w:r w:rsidR="00AC4997" w:rsidRPr="00956E72">
        <w:t xml:space="preserve">The </w:t>
      </w:r>
      <w:r w:rsidR="00C82F03">
        <w:t xml:space="preserve">same </w:t>
      </w:r>
      <w:r w:rsidR="00AC4997" w:rsidRPr="00956E72">
        <w:t>hours of use were</w:t>
      </w:r>
      <w:r w:rsidR="00AC4997">
        <w:t xml:space="preserve"> also calculated for </w:t>
      </w:r>
      <w:r w:rsidR="00AC4997" w:rsidRPr="00956E72">
        <w:t xml:space="preserve">the “PGECOLTG151 R8 Outdoor </w:t>
      </w:r>
      <w:proofErr w:type="spellStart"/>
      <w:r w:rsidR="00AC4997" w:rsidRPr="00956E72">
        <w:t>InterimSolution</w:t>
      </w:r>
      <w:proofErr w:type="spellEnd"/>
      <w:r w:rsidR="00AC4997" w:rsidRPr="00956E72">
        <w:t>” workpaper</w:t>
      </w:r>
      <w:r w:rsidR="00AC4997">
        <w:t>,</w:t>
      </w:r>
      <w:r w:rsidR="00AC4997" w:rsidRPr="00956E72">
        <w:rPr>
          <w:rStyle w:val="FootnoteReference"/>
        </w:rPr>
        <w:footnoteReference w:id="22"/>
      </w:r>
      <w:r w:rsidR="00AC4997">
        <w:t xml:space="preserve"> which was subsequently approved by the CPUC Energy Division.</w:t>
      </w:r>
      <w:r w:rsidR="00C82F03">
        <w:t>)</w:t>
      </w:r>
    </w:p>
    <w:p w14:paraId="6BF0C5F6" w14:textId="349972B7" w:rsidR="0094495E" w:rsidRDefault="0094495E" w:rsidP="00D67D5B">
      <w:bookmarkStart w:id="52" w:name="_Hlk6221539"/>
      <w:r>
        <w:t xml:space="preserve">The resultant </w:t>
      </w:r>
      <w:r w:rsidR="00D67D5B">
        <w:t>LED T8</w:t>
      </w:r>
      <w:r>
        <w:t xml:space="preserve"> lamp e</w:t>
      </w:r>
      <w:r w:rsidRPr="00E64ED0">
        <w:t>nergy savings vary by market sector and building type</w:t>
      </w:r>
      <w:r>
        <w:t xml:space="preserve">, due to </w:t>
      </w:r>
      <w:r w:rsidRPr="00E64ED0">
        <w:t>operating hours and interactive effect</w:t>
      </w:r>
      <w:r>
        <w:t>s</w:t>
      </w:r>
      <w:r w:rsidR="00C72918">
        <w:t xml:space="preserve"> that vary by building type and sector</w:t>
      </w:r>
      <w:r w:rsidRPr="00E64ED0">
        <w:t xml:space="preserve">. </w:t>
      </w:r>
    </w:p>
    <w:p w14:paraId="7DD297BD" w14:textId="77777777" w:rsidR="00E30721" w:rsidRDefault="00E30721" w:rsidP="00D67D5B">
      <w:pPr>
        <w:rPr>
          <w:rFonts w:asciiTheme="minorHAnsi" w:hAnsiTheme="minorHAnsi" w:cstheme="minorHAnsi"/>
          <w:i/>
          <w:szCs w:val="22"/>
        </w:rPr>
      </w:pPr>
    </w:p>
    <w:bookmarkEnd w:id="52"/>
    <w:p w14:paraId="7CE3BDD2" w14:textId="50B51AD9" w:rsidR="00932A15" w:rsidRPr="007844E1" w:rsidRDefault="007844E1" w:rsidP="007844E1">
      <w:pPr>
        <w:pStyle w:val="Reminders"/>
        <w:ind w:left="720" w:right="1440"/>
        <w:rPr>
          <w:rFonts w:ascii="Calibri Light" w:hAnsi="Calibri Light" w:cstheme="minorHAnsi"/>
          <w:i w:val="0"/>
          <w:color w:val="auto"/>
          <w:sz w:val="20"/>
          <w:szCs w:val="22"/>
        </w:rPr>
      </w:pPr>
      <w:r w:rsidRPr="007844E1">
        <w:rPr>
          <w:rFonts w:ascii="Calibri Light" w:hAnsi="Calibri Light" w:cstheme="minorHAnsi"/>
          <w:b/>
          <w:i w:val="0"/>
          <w:color w:val="auto"/>
          <w:sz w:val="20"/>
          <w:szCs w:val="22"/>
        </w:rPr>
        <w:t>Sample Calculation.</w:t>
      </w:r>
      <w:r w:rsidRPr="007844E1">
        <w:rPr>
          <w:rFonts w:ascii="Calibri Light" w:hAnsi="Calibri Light" w:cstheme="minorHAnsi"/>
          <w:i w:val="0"/>
          <w:color w:val="auto"/>
          <w:sz w:val="20"/>
          <w:szCs w:val="22"/>
        </w:rPr>
        <w:t xml:space="preserve"> </w:t>
      </w:r>
      <w:r w:rsidR="00932A15" w:rsidRPr="007844E1">
        <w:rPr>
          <w:rFonts w:ascii="Calibri Light" w:hAnsi="Calibri Light" w:cstheme="minorHAnsi"/>
          <w:i w:val="0"/>
          <w:color w:val="auto"/>
          <w:sz w:val="20"/>
          <w:szCs w:val="22"/>
        </w:rPr>
        <w:t xml:space="preserve">A sample energy savings calculation is provided below for a 4-foot LED T8 Lamp UL Type A replacing Linear Fluorescent T8 Lamp in an Assembly building type, Climate Zone 6, and accelerated replacement installation type. </w:t>
      </w:r>
    </w:p>
    <w:p w14:paraId="46EBA1E7" w14:textId="49E84756" w:rsidR="00932A15" w:rsidRPr="007844E1" w:rsidRDefault="003E713A" w:rsidP="007844E1">
      <w:pPr>
        <w:ind w:left="720" w:right="1440"/>
        <w:rPr>
          <w:rFonts w:cstheme="minorHAnsi"/>
          <w:sz w:val="16"/>
          <w:szCs w:val="20"/>
        </w:rPr>
      </w:pPr>
      <m:oMathPara>
        <m:oMathParaPr>
          <m:jc m:val="left"/>
        </m:oMathParaPr>
        <m:oMath>
          <m:r>
            <w:rPr>
              <w:rFonts w:ascii="Cambria Math" w:hAnsi="Cambria Math" w:cstheme="minorHAnsi"/>
              <w:sz w:val="16"/>
              <w:szCs w:val="20"/>
            </w:rPr>
            <m:t>UES</m:t>
          </m:r>
          <m:r>
            <w:rPr>
              <w:rFonts w:ascii="Cambria Math" w:cstheme="minorHAnsi"/>
              <w:sz w:val="16"/>
              <w:szCs w:val="20"/>
            </w:rPr>
            <m:t>=</m:t>
          </m:r>
          <m:f>
            <m:fPr>
              <m:ctrlPr>
                <w:rPr>
                  <w:rFonts w:ascii="Cambria Math" w:hAnsi="Cambria Math" w:cstheme="minorHAnsi"/>
                  <w:i/>
                  <w:sz w:val="16"/>
                  <w:szCs w:val="20"/>
                </w:rPr>
              </m:ctrlPr>
            </m:fPr>
            <m:num>
              <m:d>
                <m:dPr>
                  <m:ctrlPr>
                    <w:rPr>
                      <w:rFonts w:ascii="Cambria Math" w:hAnsi="Cambria Math" w:cstheme="minorHAnsi"/>
                      <w:i/>
                      <w:sz w:val="16"/>
                      <w:szCs w:val="20"/>
                    </w:rPr>
                  </m:ctrlPr>
                </m:dPr>
                <m:e>
                  <m:r>
                    <w:rPr>
                      <w:rFonts w:ascii="Cambria Math" w:cstheme="minorHAnsi"/>
                      <w:sz w:val="16"/>
                      <w:szCs w:val="20"/>
                    </w:rPr>
                    <m:t>26.68</m:t>
                  </m:r>
                  <m:r>
                    <w:rPr>
                      <w:rFonts w:ascii="Cambria Math" w:hAnsi="Cambria Math" w:cstheme="minorHAnsi"/>
                      <w:sz w:val="16"/>
                      <w:szCs w:val="20"/>
                    </w:rPr>
                    <m:t>-</m:t>
                  </m:r>
                  <m:r>
                    <w:rPr>
                      <w:rFonts w:ascii="Cambria Math" w:cstheme="minorHAnsi"/>
                      <w:sz w:val="16"/>
                      <w:szCs w:val="20"/>
                    </w:rPr>
                    <m:t>14.58</m:t>
                  </m:r>
                </m:e>
              </m:d>
              <m:r>
                <w:rPr>
                  <w:rFonts w:ascii="Cambria Math" w:hAnsi="Cambria Math" w:cstheme="minorHAnsi"/>
                  <w:sz w:val="16"/>
                  <w:szCs w:val="20"/>
                </w:rPr>
                <m:t>×</m:t>
              </m:r>
              <m:r>
                <w:rPr>
                  <w:rFonts w:ascii="Cambria Math" w:cstheme="minorHAnsi"/>
                  <w:sz w:val="16"/>
                  <w:szCs w:val="20"/>
                </w:rPr>
                <m:t>1100</m:t>
              </m:r>
              <m:r>
                <w:rPr>
                  <w:rFonts w:ascii="Cambria Math" w:hAnsi="Cambria Math" w:cstheme="minorHAnsi"/>
                  <w:sz w:val="16"/>
                  <w:szCs w:val="20"/>
                </w:rPr>
                <m:t>×</m:t>
              </m:r>
              <m:r>
                <w:rPr>
                  <w:rFonts w:ascii="Cambria Math" w:cstheme="minorHAnsi"/>
                  <w:sz w:val="16"/>
                  <w:szCs w:val="20"/>
                </w:rPr>
                <m:t>1.08</m:t>
              </m:r>
            </m:num>
            <m:den>
              <m:r>
                <w:rPr>
                  <w:rFonts w:ascii="Cambria Math" w:cstheme="minorHAnsi"/>
                  <w:sz w:val="16"/>
                  <w:szCs w:val="20"/>
                </w:rPr>
                <m:t>1,000</m:t>
              </m:r>
              <m:d>
                <m:dPr>
                  <m:ctrlPr>
                    <w:rPr>
                      <w:rFonts w:ascii="Cambria Math" w:hAnsi="Cambria Math" w:cstheme="minorHAnsi"/>
                      <w:i/>
                      <w:sz w:val="16"/>
                      <w:szCs w:val="20"/>
                    </w:rPr>
                  </m:ctrlPr>
                </m:dPr>
                <m:e>
                  <m:f>
                    <m:fPr>
                      <m:ctrlPr>
                        <w:rPr>
                          <w:rFonts w:ascii="Cambria Math" w:hAnsi="Cambria Math" w:cstheme="minorHAnsi"/>
                          <w:i/>
                          <w:sz w:val="16"/>
                          <w:szCs w:val="20"/>
                        </w:rPr>
                      </m:ctrlPr>
                    </m:fPr>
                    <m:num>
                      <m:r>
                        <w:rPr>
                          <w:rFonts w:ascii="Cambria Math" w:hAnsi="Cambria Math" w:cstheme="minorHAnsi"/>
                          <w:sz w:val="16"/>
                          <w:szCs w:val="20"/>
                        </w:rPr>
                        <m:t>Watt</m:t>
                      </m:r>
                      <m:r>
                        <w:rPr>
                          <w:rFonts w:hAnsi="Cambria Math" w:cstheme="minorHAnsi"/>
                          <w:sz w:val="16"/>
                          <w:szCs w:val="20"/>
                        </w:rPr>
                        <m:t>h</m:t>
                      </m:r>
                      <m:r>
                        <w:rPr>
                          <w:rFonts w:ascii="Cambria Math" w:hAnsi="Cambria Math" w:cstheme="minorHAnsi"/>
                          <w:sz w:val="16"/>
                          <w:szCs w:val="20"/>
                        </w:rPr>
                        <m:t>ours</m:t>
                      </m:r>
                    </m:num>
                    <m:den>
                      <m:r>
                        <w:rPr>
                          <w:rFonts w:ascii="Cambria Math" w:hAnsi="Cambria Math" w:cstheme="minorHAnsi"/>
                          <w:sz w:val="16"/>
                          <w:szCs w:val="20"/>
                        </w:rPr>
                        <m:t>kW</m:t>
                      </m:r>
                      <m:r>
                        <w:rPr>
                          <w:rFonts w:hAnsi="Cambria Math" w:cstheme="minorHAnsi"/>
                          <w:sz w:val="16"/>
                          <w:szCs w:val="20"/>
                        </w:rPr>
                        <m:t>h</m:t>
                      </m:r>
                    </m:den>
                  </m:f>
                </m:e>
              </m:d>
            </m:den>
          </m:f>
        </m:oMath>
      </m:oMathPara>
    </w:p>
    <w:p w14:paraId="4DC207B0" w14:textId="6F057DAA" w:rsidR="00932A15" w:rsidRPr="007844E1" w:rsidRDefault="003E713A" w:rsidP="007844E1">
      <w:pPr>
        <w:pStyle w:val="Reminders"/>
        <w:ind w:left="720" w:right="1440"/>
        <w:rPr>
          <w:rFonts w:ascii="Calibri Light" w:hAnsi="Calibri Light" w:cstheme="minorHAnsi"/>
          <w:i w:val="0"/>
          <w:color w:val="auto"/>
          <w:sz w:val="16"/>
          <w:szCs w:val="20"/>
        </w:rPr>
      </w:pPr>
      <m:oMathPara>
        <m:oMathParaPr>
          <m:jc m:val="left"/>
        </m:oMathParaPr>
        <m:oMath>
          <m:r>
            <w:rPr>
              <w:rFonts w:ascii="Cambria Math" w:hAnsi="Cambria Math" w:cstheme="minorHAnsi"/>
              <w:color w:val="auto"/>
              <w:sz w:val="16"/>
              <w:szCs w:val="20"/>
            </w:rPr>
            <m:t>UES</m:t>
          </m:r>
          <m:r>
            <w:rPr>
              <w:rFonts w:ascii="Cambria Math" w:hAnsi="Calibri Light" w:cstheme="minorHAnsi"/>
              <w:color w:val="auto"/>
              <w:sz w:val="16"/>
              <w:szCs w:val="20"/>
            </w:rPr>
            <m:t xml:space="preserve">=14.38 </m:t>
          </m:r>
          <m:r>
            <w:rPr>
              <w:rFonts w:ascii="Cambria Math" w:hAnsi="Cambria Math" w:cstheme="minorHAnsi"/>
              <w:color w:val="auto"/>
              <w:sz w:val="16"/>
              <w:szCs w:val="20"/>
            </w:rPr>
            <m:t>kW</m:t>
          </m:r>
          <m:r>
            <w:rPr>
              <w:rFonts w:ascii="Calibri Light" w:hAnsi="Cambria Math" w:cstheme="minorHAnsi"/>
              <w:color w:val="auto"/>
              <w:sz w:val="16"/>
              <w:szCs w:val="20"/>
            </w:rPr>
            <m:t>h</m:t>
          </m:r>
          <m:r>
            <w:rPr>
              <w:rFonts w:ascii="Cambria Math" w:hAnsi="Calibri Light" w:cstheme="minorHAnsi"/>
              <w:color w:val="auto"/>
              <w:sz w:val="16"/>
              <w:szCs w:val="20"/>
            </w:rPr>
            <m:t>/</m:t>
          </m:r>
          <m:r>
            <w:rPr>
              <w:rFonts w:ascii="Cambria Math" w:hAnsi="Cambria Math" w:cstheme="minorHAnsi"/>
              <w:color w:val="auto"/>
              <w:sz w:val="16"/>
              <w:szCs w:val="20"/>
            </w:rPr>
            <m:t>year</m:t>
          </m:r>
        </m:oMath>
      </m:oMathPara>
    </w:p>
    <w:p w14:paraId="4C5F7933" w14:textId="77777777" w:rsidR="00811365" w:rsidRDefault="00811365" w:rsidP="00932A15"/>
    <w:p w14:paraId="3A3F6762" w14:textId="77777777" w:rsidR="0005151B" w:rsidRPr="004B06E3" w:rsidRDefault="0005151B" w:rsidP="0005151B">
      <w:pPr>
        <w:pStyle w:val="eTRMHeading3"/>
      </w:pPr>
      <w:bookmarkStart w:id="53" w:name="_Toc486490856"/>
      <w:bookmarkStart w:id="54" w:name="_Toc486580927"/>
      <w:bookmarkStart w:id="55" w:name="_Toc40948496"/>
      <w:r w:rsidRPr="004B06E3">
        <w:t>Peak Electric Demand Reduction (kW)</w:t>
      </w:r>
      <w:bookmarkEnd w:id="53"/>
      <w:bookmarkEnd w:id="54"/>
      <w:bookmarkEnd w:id="55"/>
    </w:p>
    <w:p w14:paraId="2D6DF6C4" w14:textId="1BDFB925" w:rsidR="0005151B" w:rsidRDefault="0005151B" w:rsidP="0005151B">
      <w:bookmarkStart w:id="56" w:name="_Hlk6221616"/>
      <w:r>
        <w:t xml:space="preserve">The calculation of demand reduction impacts (kW) for the LED T8 lamp is </w:t>
      </w:r>
      <w:r w:rsidR="009657F4">
        <w:t>a function of the difference between the baseline and measure case lamp wattage</w:t>
      </w:r>
      <w:r w:rsidR="001C0160">
        <w:t xml:space="preserve"> (</w:t>
      </w:r>
      <w:r w:rsidR="001C0160">
        <w:rPr>
          <w:rFonts w:cs="Calibri Light"/>
        </w:rPr>
        <w:t>Δ</w:t>
      </w:r>
      <w:r w:rsidR="001C0160">
        <w:t>W)</w:t>
      </w:r>
      <w:r w:rsidR="009657F4">
        <w:t>, a coincident demand factor (CDF) and interactive effects</w:t>
      </w:r>
      <w:r>
        <w:t xml:space="preserve">. </w:t>
      </w:r>
    </w:p>
    <w:p w14:paraId="6EA080B6" w14:textId="77777777" w:rsidR="0005151B" w:rsidRDefault="0005151B" w:rsidP="0005151B"/>
    <w:p w14:paraId="3DB51F4C" w14:textId="43E44F5E" w:rsidR="0092200C" w:rsidRPr="00A6479A" w:rsidRDefault="0092200C" w:rsidP="0092200C">
      <w:pPr>
        <w:ind w:left="720" w:hanging="720"/>
        <w:rPr>
          <w:sz w:val="18"/>
        </w:rPr>
      </w:pPr>
      <m:oMathPara>
        <m:oMathParaPr>
          <m:jc m:val="left"/>
        </m:oMathParaPr>
        <m:oMath>
          <m:r>
            <w:rPr>
              <w:rFonts w:ascii="Cambria Math" w:hAnsi="Cambria Math"/>
              <w:sz w:val="18"/>
            </w:rPr>
            <m:t>Peak Demand Reduction=</m:t>
          </m:r>
          <m:f>
            <m:fPr>
              <m:ctrlPr>
                <w:rPr>
                  <w:rFonts w:ascii="Cambria Math" w:hAnsi="Cambria Math"/>
                  <w:i/>
                  <w:sz w:val="18"/>
                </w:rPr>
              </m:ctrlPr>
            </m:fPr>
            <m:num>
              <m:r>
                <w:rPr>
                  <w:rFonts w:ascii="Cambria Math" w:hAnsi="Cambria Math"/>
                  <w:sz w:val="18"/>
                </w:rPr>
                <m:t>∆W×CDF×</m:t>
              </m:r>
              <m:sSub>
                <m:sSubPr>
                  <m:ctrlPr>
                    <w:rPr>
                      <w:rFonts w:ascii="Cambria Math" w:hAnsi="Cambria Math"/>
                      <w:i/>
                      <w:sz w:val="18"/>
                    </w:rPr>
                  </m:ctrlPr>
                </m:sSubPr>
                <m:e>
                  <m:r>
                    <w:rPr>
                      <w:rFonts w:ascii="Cambria Math" w:hAnsi="Cambria Math"/>
                      <w:sz w:val="18"/>
                    </w:rPr>
                    <m:t>IE</m:t>
                  </m:r>
                </m:e>
                <m:sub>
                  <m:r>
                    <w:rPr>
                      <w:rFonts w:ascii="Cambria Math" w:hAnsi="Cambria Math"/>
                      <w:sz w:val="18"/>
                    </w:rPr>
                    <m:t>elec</m:t>
                  </m:r>
                </m:sub>
              </m:sSub>
            </m:num>
            <m:den>
              <m:r>
                <w:rPr>
                  <w:rFonts w:ascii="Cambria Math" w:hAnsi="Cambria Math"/>
                  <w:sz w:val="18"/>
                </w:rPr>
                <m:t>1,000 W/kW</m:t>
              </m:r>
            </m:den>
          </m:f>
        </m:oMath>
      </m:oMathPara>
    </w:p>
    <w:p w14:paraId="687E7701" w14:textId="77777777" w:rsidR="0092200C" w:rsidRDefault="0092200C" w:rsidP="0092200C">
      <w:pPr>
        <w:pStyle w:val="Reminders"/>
        <w:ind w:left="1440"/>
        <w:rPr>
          <w:rFonts w:asciiTheme="minorHAnsi" w:hAnsiTheme="minorHAnsi" w:cstheme="minorHAnsi"/>
          <w:color w:val="191919" w:themeColor="text1"/>
          <w:szCs w:val="22"/>
        </w:rPr>
      </w:pPr>
    </w:p>
    <w:p w14:paraId="58391C4C" w14:textId="77777777" w:rsidR="0092200C" w:rsidRPr="00A6479A" w:rsidRDefault="0092200C" w:rsidP="0092200C">
      <w:pPr>
        <w:ind w:left="1530"/>
        <w:rPr>
          <w:rFonts w:ascii="Cambria Math" w:hAnsi="Cambria Math"/>
          <w:i/>
          <w:sz w:val="18"/>
          <w:szCs w:val="18"/>
        </w:rPr>
      </w:pPr>
      <w:r w:rsidRPr="00A6479A">
        <w:rPr>
          <w:rFonts w:ascii="Cambria Math" w:hAnsi="Cambria Math"/>
          <w:i/>
          <w:sz w:val="18"/>
          <w:szCs w:val="18"/>
        </w:rPr>
        <w:t xml:space="preserve">∆Watts/unit = </w:t>
      </w:r>
      <w:r>
        <w:rPr>
          <w:rFonts w:ascii="Cambria Math" w:hAnsi="Cambria Math"/>
          <w:i/>
          <w:sz w:val="18"/>
          <w:szCs w:val="18"/>
        </w:rPr>
        <w:tab/>
      </w:r>
      <w:r w:rsidRPr="00A6479A">
        <w:rPr>
          <w:rFonts w:ascii="Cambria Math" w:hAnsi="Cambria Math"/>
          <w:i/>
          <w:sz w:val="18"/>
          <w:szCs w:val="18"/>
        </w:rPr>
        <w:t>(Base Case Average Watts per lamp) – (Measure Case Average Watts per lamp)</w:t>
      </w:r>
    </w:p>
    <w:p w14:paraId="21FF7118" w14:textId="1270CC02" w:rsidR="0092200C" w:rsidRPr="00A6479A" w:rsidRDefault="0092200C" w:rsidP="0092200C">
      <w:pPr>
        <w:ind w:left="1530"/>
        <w:rPr>
          <w:rFonts w:ascii="Cambria Math" w:hAnsi="Cambria Math"/>
          <w:i/>
          <w:sz w:val="18"/>
          <w:szCs w:val="18"/>
        </w:rPr>
      </w:pPr>
      <w:r>
        <w:rPr>
          <w:rFonts w:ascii="Cambria Math" w:hAnsi="Cambria Math"/>
          <w:i/>
          <w:sz w:val="18"/>
          <w:szCs w:val="18"/>
        </w:rPr>
        <w:t>CDF</w:t>
      </w:r>
      <w:r w:rsidRPr="00A6479A">
        <w:rPr>
          <w:rFonts w:ascii="Cambria Math" w:hAnsi="Cambria Math"/>
          <w:i/>
          <w:sz w:val="18"/>
          <w:szCs w:val="18"/>
        </w:rPr>
        <w:t xml:space="preserve"> = </w:t>
      </w:r>
      <w:r>
        <w:rPr>
          <w:rFonts w:ascii="Cambria Math" w:hAnsi="Cambria Math"/>
          <w:i/>
          <w:sz w:val="18"/>
          <w:szCs w:val="18"/>
        </w:rPr>
        <w:tab/>
      </w:r>
      <w:r>
        <w:rPr>
          <w:rFonts w:ascii="Cambria Math" w:hAnsi="Cambria Math"/>
          <w:i/>
          <w:sz w:val="18"/>
          <w:szCs w:val="18"/>
        </w:rPr>
        <w:tab/>
        <w:t>Coincident demand factor</w:t>
      </w:r>
    </w:p>
    <w:p w14:paraId="5FA26542" w14:textId="54AE0C45" w:rsidR="0092200C" w:rsidRPr="00A6479A" w:rsidRDefault="0092200C" w:rsidP="0092200C">
      <w:pPr>
        <w:ind w:left="1530"/>
        <w:rPr>
          <w:rFonts w:ascii="Cambria Math" w:hAnsi="Cambria Math"/>
          <w:i/>
          <w:sz w:val="18"/>
          <w:szCs w:val="18"/>
        </w:rPr>
      </w:pPr>
      <w:proofErr w:type="spellStart"/>
      <w:r w:rsidRPr="00A6479A">
        <w:rPr>
          <w:rFonts w:ascii="Cambria Math" w:hAnsi="Cambria Math"/>
          <w:i/>
          <w:sz w:val="18"/>
          <w:szCs w:val="18"/>
        </w:rPr>
        <w:t>IE</w:t>
      </w:r>
      <w:r w:rsidR="00243F7F" w:rsidRPr="00243F7F">
        <w:rPr>
          <w:rFonts w:ascii="Cambria Math" w:hAnsi="Cambria Math"/>
          <w:i/>
          <w:sz w:val="18"/>
          <w:szCs w:val="18"/>
          <w:vertAlign w:val="subscript"/>
        </w:rPr>
        <w:t>elec</w:t>
      </w:r>
      <w:proofErr w:type="spellEnd"/>
      <w:r w:rsidRPr="00A6479A">
        <w:rPr>
          <w:rFonts w:ascii="Cambria Math" w:hAnsi="Cambria Math"/>
          <w:i/>
          <w:sz w:val="18"/>
          <w:szCs w:val="18"/>
        </w:rPr>
        <w:t xml:space="preserve"> = </w:t>
      </w:r>
      <w:r>
        <w:rPr>
          <w:rFonts w:ascii="Cambria Math" w:hAnsi="Cambria Math"/>
          <w:i/>
          <w:sz w:val="18"/>
          <w:szCs w:val="18"/>
        </w:rPr>
        <w:tab/>
      </w:r>
      <w:r>
        <w:rPr>
          <w:rFonts w:ascii="Cambria Math" w:hAnsi="Cambria Math"/>
          <w:i/>
          <w:sz w:val="18"/>
          <w:szCs w:val="18"/>
        </w:rPr>
        <w:tab/>
      </w:r>
      <w:r w:rsidRPr="00A6479A">
        <w:rPr>
          <w:rFonts w:ascii="Cambria Math" w:hAnsi="Cambria Math"/>
          <w:i/>
          <w:sz w:val="18"/>
          <w:szCs w:val="18"/>
        </w:rPr>
        <w:t>Interactive Effects, by building type/space</w:t>
      </w:r>
    </w:p>
    <w:p w14:paraId="73AFB280" w14:textId="365FCB71" w:rsidR="0092200C" w:rsidRDefault="0092200C" w:rsidP="0005151B"/>
    <w:p w14:paraId="6ACA0A4A" w14:textId="22879ECB" w:rsidR="0005151B" w:rsidRDefault="0005151B" w:rsidP="0005151B">
      <w:r>
        <w:t xml:space="preserve">See the Electric Savings section for a discussion of the </w:t>
      </w:r>
      <w:r w:rsidR="0092200C">
        <w:t>base case and measure case average watts per lamp</w:t>
      </w:r>
      <w:r w:rsidR="00C718F9">
        <w:t xml:space="preserve"> used to derive the </w:t>
      </w:r>
      <w:r w:rsidR="001C0160">
        <w:rPr>
          <w:rFonts w:cs="Calibri Light"/>
        </w:rPr>
        <w:t>Δ</w:t>
      </w:r>
      <w:r w:rsidR="001C0160">
        <w:t>W</w:t>
      </w:r>
      <w:r>
        <w:t xml:space="preserve"> and </w:t>
      </w:r>
      <w:r w:rsidR="0092200C">
        <w:t xml:space="preserve">the HVAC </w:t>
      </w:r>
      <w:r>
        <w:t xml:space="preserve">interactive effects multiplier. </w:t>
      </w:r>
    </w:p>
    <w:bookmarkEnd w:id="56"/>
    <w:p w14:paraId="16DAAEAB" w14:textId="77777777" w:rsidR="0092200C" w:rsidRDefault="0092200C" w:rsidP="0092200C">
      <w:r w:rsidRPr="005C0ADE">
        <w:rPr>
          <w:b/>
        </w:rPr>
        <w:t>Coincident Demand Factor (CDF).</w:t>
      </w:r>
      <w:r>
        <w:rPr>
          <w:b/>
        </w:rPr>
        <w:t xml:space="preserve"> </w:t>
      </w:r>
      <w:bookmarkStart w:id="57" w:name="_Hlk502132544"/>
      <w:r w:rsidRPr="007758CE">
        <w:t>The coincident demand factor (CDF) represents the percentage of the time that all the lights in the building are on at the same time, during the CPUC-defined peak hours. This factor is applied to the demand savings to align the savings with this peak period. This factor varies by building type and climate zone.</w:t>
      </w:r>
      <w:bookmarkEnd w:id="57"/>
    </w:p>
    <w:p w14:paraId="7C2A8ABC" w14:textId="3AF376BB" w:rsidR="00793D34" w:rsidRDefault="00793D34" w:rsidP="0005151B">
      <w:bookmarkStart w:id="58" w:name="_Hlk6221632"/>
      <w:r>
        <w:t xml:space="preserve">The sources for the input parameters for this calculation are </w:t>
      </w:r>
      <w:r w:rsidR="001754AD">
        <w:t>specified below</w:t>
      </w:r>
      <w:r>
        <w:t xml:space="preserve">.  </w:t>
      </w:r>
    </w:p>
    <w:p w14:paraId="5E4D0E77" w14:textId="4E6175F4" w:rsidR="00932A15" w:rsidRPr="00920905" w:rsidRDefault="00932A15">
      <w:pPr>
        <w:pStyle w:val="Caption"/>
      </w:pPr>
      <w:bookmarkStart w:id="59" w:name="_Hlk6221654"/>
      <w:bookmarkEnd w:id="58"/>
      <w:r>
        <w:lastRenderedPageBreak/>
        <w:t>LED T8 Replacement Lamps UL Type A Demand Reduction Parameters</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45"/>
        <w:gridCol w:w="2615"/>
        <w:gridCol w:w="3590"/>
      </w:tblGrid>
      <w:tr w:rsidR="00932A15" w:rsidRPr="00500C4E" w14:paraId="5FCAADF7" w14:textId="77777777" w:rsidTr="00A6730D">
        <w:trPr>
          <w:cantSplit/>
          <w:trHeight w:val="20"/>
          <w:tblHeader/>
        </w:trPr>
        <w:tc>
          <w:tcPr>
            <w:tcW w:w="3145" w:type="dxa"/>
            <w:shd w:val="clear" w:color="auto" w:fill="F2F2F2" w:themeFill="background1" w:themeFillShade="F2"/>
            <w:vAlign w:val="bottom"/>
          </w:tcPr>
          <w:p w14:paraId="4D30E5F6" w14:textId="77777777" w:rsidR="00932A15" w:rsidRPr="00694410" w:rsidRDefault="00932A15" w:rsidP="00A6730D">
            <w:pPr>
              <w:spacing w:before="0" w:after="0" w:line="240" w:lineRule="auto"/>
              <w:jc w:val="center"/>
              <w:rPr>
                <w:rFonts w:cstheme="minorHAnsi"/>
                <w:b/>
                <w:sz w:val="20"/>
                <w:szCs w:val="20"/>
              </w:rPr>
            </w:pPr>
            <w:r>
              <w:rPr>
                <w:rFonts w:cstheme="minorHAnsi"/>
                <w:b/>
                <w:sz w:val="20"/>
                <w:szCs w:val="20"/>
              </w:rPr>
              <w:t>Parameter</w:t>
            </w:r>
          </w:p>
        </w:tc>
        <w:tc>
          <w:tcPr>
            <w:tcW w:w="2615" w:type="dxa"/>
            <w:shd w:val="clear" w:color="auto" w:fill="F2F2F2" w:themeFill="background1" w:themeFillShade="F2"/>
          </w:tcPr>
          <w:p w14:paraId="67F2FC6F" w14:textId="77777777" w:rsidR="00932A15" w:rsidRDefault="00932A15" w:rsidP="00A6730D">
            <w:pPr>
              <w:spacing w:before="0" w:after="0" w:line="240" w:lineRule="auto"/>
              <w:jc w:val="center"/>
              <w:rPr>
                <w:rFonts w:cstheme="minorHAnsi"/>
                <w:b/>
                <w:sz w:val="20"/>
                <w:szCs w:val="20"/>
              </w:rPr>
            </w:pPr>
            <w:r>
              <w:rPr>
                <w:rFonts w:cstheme="minorHAnsi"/>
                <w:b/>
                <w:sz w:val="20"/>
                <w:szCs w:val="20"/>
              </w:rPr>
              <w:t>Value</w:t>
            </w:r>
          </w:p>
        </w:tc>
        <w:tc>
          <w:tcPr>
            <w:tcW w:w="3590" w:type="dxa"/>
            <w:shd w:val="clear" w:color="auto" w:fill="F2F2F2" w:themeFill="background1" w:themeFillShade="F2"/>
          </w:tcPr>
          <w:p w14:paraId="6FCB2801" w14:textId="77777777" w:rsidR="00932A15" w:rsidRPr="00694410" w:rsidRDefault="00932A15" w:rsidP="00A6730D">
            <w:pPr>
              <w:spacing w:before="0" w:after="0" w:line="240" w:lineRule="auto"/>
              <w:jc w:val="center"/>
              <w:rPr>
                <w:rFonts w:cstheme="minorHAnsi"/>
                <w:b/>
                <w:sz w:val="20"/>
                <w:szCs w:val="20"/>
              </w:rPr>
            </w:pPr>
            <w:r>
              <w:rPr>
                <w:rFonts w:cstheme="minorHAnsi"/>
                <w:b/>
                <w:sz w:val="20"/>
                <w:szCs w:val="20"/>
              </w:rPr>
              <w:t>Source</w:t>
            </w:r>
          </w:p>
        </w:tc>
      </w:tr>
      <w:tr w:rsidR="00932A15" w:rsidRPr="00500C4E" w14:paraId="61F47F11" w14:textId="77777777" w:rsidTr="00A6730D">
        <w:trPr>
          <w:cantSplit/>
          <w:trHeight w:val="20"/>
        </w:trPr>
        <w:tc>
          <w:tcPr>
            <w:tcW w:w="3145" w:type="dxa"/>
            <w:vAlign w:val="center"/>
          </w:tcPr>
          <w:p w14:paraId="7D80C374" w14:textId="31FB1ED1" w:rsidR="00932A15" w:rsidRPr="006745E0" w:rsidRDefault="00E85DFC" w:rsidP="00A6730D">
            <w:pPr>
              <w:spacing w:before="0" w:after="0" w:line="240" w:lineRule="auto"/>
              <w:rPr>
                <w:sz w:val="20"/>
                <w:szCs w:val="20"/>
              </w:rPr>
            </w:pPr>
            <w:r>
              <w:rPr>
                <w:sz w:val="20"/>
                <w:szCs w:val="20"/>
              </w:rPr>
              <w:t>Baseline</w:t>
            </w:r>
            <w:r w:rsidR="00932A15" w:rsidRPr="006745E0">
              <w:rPr>
                <w:sz w:val="20"/>
                <w:szCs w:val="20"/>
              </w:rPr>
              <w:t xml:space="preserve"> average lamp wattage (W)</w:t>
            </w:r>
          </w:p>
        </w:tc>
        <w:tc>
          <w:tcPr>
            <w:tcW w:w="2615" w:type="dxa"/>
            <w:vAlign w:val="center"/>
          </w:tcPr>
          <w:p w14:paraId="4FD73A77" w14:textId="77777777" w:rsidR="00932A15" w:rsidRPr="006745E0" w:rsidRDefault="00932A15" w:rsidP="00A6730D">
            <w:pPr>
              <w:spacing w:before="0" w:after="0" w:line="240" w:lineRule="auto"/>
              <w:jc w:val="center"/>
              <w:rPr>
                <w:sz w:val="20"/>
                <w:szCs w:val="20"/>
              </w:rPr>
            </w:pPr>
            <w:r w:rsidRPr="006745E0">
              <w:rPr>
                <w:sz w:val="20"/>
                <w:szCs w:val="20"/>
              </w:rPr>
              <w:t xml:space="preserve">26.68 </w:t>
            </w:r>
          </w:p>
        </w:tc>
        <w:tc>
          <w:tcPr>
            <w:tcW w:w="3590" w:type="dxa"/>
            <w:vMerge w:val="restart"/>
            <w:vAlign w:val="center"/>
          </w:tcPr>
          <w:p w14:paraId="0EEAD4DB" w14:textId="0D1C470F" w:rsidR="00932A15" w:rsidRPr="003E713A" w:rsidRDefault="007844E1" w:rsidP="00956E72">
            <w:pPr>
              <w:pStyle w:val="FootnoteText"/>
              <w:spacing w:before="0" w:after="0" w:line="240" w:lineRule="auto"/>
              <w:rPr>
                <w:szCs w:val="18"/>
                <w:highlight w:val="yellow"/>
              </w:rPr>
            </w:pPr>
            <w:r w:rsidRPr="007844E1">
              <w:t>Southern California Edison (SCE). 20</w:t>
            </w:r>
            <w:r w:rsidR="002C117F">
              <w:t>20</w:t>
            </w:r>
            <w:r w:rsidRPr="007844E1">
              <w:t>. “</w:t>
            </w:r>
            <w:r w:rsidR="00287EBD">
              <w:t>SWLG009-02</w:t>
            </w:r>
            <w:r w:rsidRPr="007844E1">
              <w:t xml:space="preserve"> TLED Delta Watts Calculation.xlsx.”</w:t>
            </w:r>
          </w:p>
        </w:tc>
      </w:tr>
      <w:tr w:rsidR="00932A15" w:rsidRPr="00500C4E" w14:paraId="082AE9F9" w14:textId="77777777" w:rsidTr="00A6730D">
        <w:trPr>
          <w:cantSplit/>
          <w:trHeight w:val="20"/>
        </w:trPr>
        <w:tc>
          <w:tcPr>
            <w:tcW w:w="3145" w:type="dxa"/>
            <w:vAlign w:val="center"/>
          </w:tcPr>
          <w:p w14:paraId="7BBBA123" w14:textId="77777777" w:rsidR="00932A15" w:rsidRPr="006745E0" w:rsidRDefault="00932A15" w:rsidP="00A6730D">
            <w:pPr>
              <w:spacing w:before="0" w:after="0" w:line="240" w:lineRule="auto"/>
              <w:rPr>
                <w:sz w:val="20"/>
                <w:szCs w:val="20"/>
              </w:rPr>
            </w:pPr>
            <w:r w:rsidRPr="006745E0">
              <w:rPr>
                <w:sz w:val="20"/>
                <w:szCs w:val="20"/>
              </w:rPr>
              <w:t>Non-Res, Dwelling and Common Area: Measure case weighted average lamp wattage (W)</w:t>
            </w:r>
          </w:p>
        </w:tc>
        <w:tc>
          <w:tcPr>
            <w:tcW w:w="2615" w:type="dxa"/>
            <w:vAlign w:val="center"/>
          </w:tcPr>
          <w:p w14:paraId="6821C67B" w14:textId="77777777" w:rsidR="00932A15" w:rsidRPr="006745E0" w:rsidRDefault="00932A15" w:rsidP="00A6730D">
            <w:pPr>
              <w:spacing w:before="0" w:after="0" w:line="240" w:lineRule="auto"/>
              <w:jc w:val="center"/>
              <w:rPr>
                <w:sz w:val="20"/>
                <w:szCs w:val="20"/>
              </w:rPr>
            </w:pPr>
            <w:r w:rsidRPr="006745E0">
              <w:rPr>
                <w:sz w:val="20"/>
                <w:szCs w:val="20"/>
              </w:rPr>
              <w:t xml:space="preserve">14.58 </w:t>
            </w:r>
          </w:p>
        </w:tc>
        <w:tc>
          <w:tcPr>
            <w:tcW w:w="3590" w:type="dxa"/>
            <w:vMerge/>
            <w:vAlign w:val="center"/>
          </w:tcPr>
          <w:p w14:paraId="72C845CE" w14:textId="77777777" w:rsidR="00932A15" w:rsidRPr="00F94048" w:rsidRDefault="00932A15" w:rsidP="00A6730D">
            <w:pPr>
              <w:pStyle w:val="FootnoteText"/>
              <w:spacing w:before="0" w:after="0" w:line="240" w:lineRule="auto"/>
              <w:rPr>
                <w:szCs w:val="18"/>
                <w:highlight w:val="yellow"/>
              </w:rPr>
            </w:pPr>
          </w:p>
        </w:tc>
      </w:tr>
      <w:tr w:rsidR="00932A15" w:rsidRPr="00500C4E" w14:paraId="75F0881E" w14:textId="77777777" w:rsidTr="00A6730D">
        <w:trPr>
          <w:cantSplit/>
          <w:trHeight w:val="20"/>
        </w:trPr>
        <w:tc>
          <w:tcPr>
            <w:tcW w:w="3145" w:type="dxa"/>
            <w:vAlign w:val="center"/>
          </w:tcPr>
          <w:p w14:paraId="715EABED" w14:textId="77777777" w:rsidR="00932A15" w:rsidRPr="006745E0" w:rsidRDefault="00932A15" w:rsidP="00A6730D">
            <w:pPr>
              <w:spacing w:before="0" w:after="0" w:line="240" w:lineRule="auto"/>
              <w:rPr>
                <w:sz w:val="20"/>
                <w:szCs w:val="20"/>
              </w:rPr>
            </w:pPr>
            <w:r w:rsidRPr="006745E0">
              <w:rPr>
                <w:sz w:val="20"/>
                <w:szCs w:val="20"/>
              </w:rPr>
              <w:t>Parking Garage: Measure case weighted average lamp wattage (W)</w:t>
            </w:r>
          </w:p>
        </w:tc>
        <w:tc>
          <w:tcPr>
            <w:tcW w:w="2615" w:type="dxa"/>
            <w:vAlign w:val="center"/>
          </w:tcPr>
          <w:p w14:paraId="57F6A552" w14:textId="02C79017" w:rsidR="00932A15" w:rsidRPr="006745E0" w:rsidRDefault="0046345D" w:rsidP="00A6730D">
            <w:pPr>
              <w:spacing w:before="0" w:after="0" w:line="240" w:lineRule="auto"/>
              <w:jc w:val="center"/>
              <w:rPr>
                <w:sz w:val="20"/>
                <w:szCs w:val="20"/>
              </w:rPr>
            </w:pPr>
            <w:r>
              <w:rPr>
                <w:sz w:val="20"/>
                <w:szCs w:val="20"/>
              </w:rPr>
              <w:t>14.40</w:t>
            </w:r>
          </w:p>
        </w:tc>
        <w:tc>
          <w:tcPr>
            <w:tcW w:w="3590" w:type="dxa"/>
            <w:vMerge/>
            <w:vAlign w:val="center"/>
          </w:tcPr>
          <w:p w14:paraId="2C312F4E" w14:textId="77777777" w:rsidR="00932A15" w:rsidRPr="00F94048" w:rsidRDefault="00932A15" w:rsidP="00A6730D">
            <w:pPr>
              <w:pStyle w:val="FootnoteText"/>
              <w:spacing w:before="0" w:after="0" w:line="240" w:lineRule="auto"/>
              <w:rPr>
                <w:szCs w:val="18"/>
                <w:highlight w:val="yellow"/>
              </w:rPr>
            </w:pPr>
          </w:p>
        </w:tc>
      </w:tr>
      <w:tr w:rsidR="00932A15" w:rsidRPr="001776B9" w14:paraId="54DBBEA3" w14:textId="77777777" w:rsidTr="00A6730D">
        <w:trPr>
          <w:cantSplit/>
          <w:trHeight w:val="20"/>
        </w:trPr>
        <w:tc>
          <w:tcPr>
            <w:tcW w:w="31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A2DD5D" w14:textId="77777777" w:rsidR="00932A15" w:rsidRPr="006745E0" w:rsidRDefault="00932A15" w:rsidP="00A6730D">
            <w:pPr>
              <w:spacing w:before="0" w:after="0" w:line="240" w:lineRule="auto"/>
              <w:rPr>
                <w:sz w:val="20"/>
                <w:szCs w:val="20"/>
              </w:rPr>
            </w:pPr>
            <w:bookmarkStart w:id="60" w:name="_Hlk502132898"/>
            <w:r w:rsidRPr="006745E0">
              <w:rPr>
                <w:sz w:val="20"/>
                <w:szCs w:val="20"/>
              </w:rPr>
              <w:t xml:space="preserve">Lighting coincident demand factor (CDF) – commercial </w:t>
            </w:r>
          </w:p>
        </w:tc>
        <w:tc>
          <w:tcPr>
            <w:tcW w:w="261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E12F302" w14:textId="77777777" w:rsidR="00932A15" w:rsidRPr="006745E0" w:rsidRDefault="00932A15" w:rsidP="00A6730D">
            <w:pPr>
              <w:spacing w:before="0" w:after="0" w:line="240" w:lineRule="auto"/>
              <w:rPr>
                <w:sz w:val="20"/>
                <w:szCs w:val="20"/>
              </w:rPr>
            </w:pPr>
            <w:r w:rsidRPr="006745E0">
              <w:rPr>
                <w:sz w:val="20"/>
                <w:szCs w:val="20"/>
              </w:rPr>
              <w:t>Varies by building type, vintage, lighting type and vintage</w:t>
            </w:r>
          </w:p>
        </w:tc>
        <w:tc>
          <w:tcPr>
            <w:tcW w:w="3590" w:type="dxa"/>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28014C60" w14:textId="10DED588" w:rsidR="00932A15" w:rsidRPr="007758CE" w:rsidRDefault="00932A15" w:rsidP="00A6730D">
            <w:pPr>
              <w:pStyle w:val="FootnoteText"/>
              <w:spacing w:before="0" w:after="0" w:line="240" w:lineRule="auto"/>
              <w:rPr>
                <w:szCs w:val="18"/>
              </w:rPr>
            </w:pPr>
            <w:r w:rsidRPr="009303E9">
              <w:t>California Public Utilities Commission (CPUC). 20</w:t>
            </w:r>
            <w:r w:rsidR="002C117F">
              <w:t>20</w:t>
            </w:r>
            <w:r w:rsidRPr="009303E9">
              <w:t>. "SupportTable_2020-Com-InLtg.</w:t>
            </w:r>
            <w:r w:rsidR="007844E1">
              <w:t>csv</w:t>
            </w:r>
            <w:r w:rsidRPr="009303E9">
              <w:t>."</w:t>
            </w:r>
          </w:p>
        </w:tc>
      </w:tr>
      <w:tr w:rsidR="00932A15" w:rsidRPr="001776B9" w14:paraId="73BD18B0" w14:textId="77777777" w:rsidTr="00A6730D">
        <w:trPr>
          <w:cantSplit/>
          <w:trHeight w:val="20"/>
        </w:trPr>
        <w:tc>
          <w:tcPr>
            <w:tcW w:w="31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D2D6329" w14:textId="77777777" w:rsidR="00932A15" w:rsidRPr="006745E0" w:rsidRDefault="00932A15" w:rsidP="00A6730D">
            <w:pPr>
              <w:spacing w:before="0" w:after="0" w:line="240" w:lineRule="auto"/>
              <w:rPr>
                <w:sz w:val="20"/>
                <w:szCs w:val="20"/>
              </w:rPr>
            </w:pPr>
            <w:r w:rsidRPr="006745E0">
              <w:rPr>
                <w:sz w:val="20"/>
                <w:szCs w:val="20"/>
              </w:rPr>
              <w:t>Interactive effects - commercial</w:t>
            </w:r>
          </w:p>
        </w:tc>
        <w:tc>
          <w:tcPr>
            <w:tcW w:w="261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141DD9C" w14:textId="77777777" w:rsidR="00932A15" w:rsidRPr="006745E0" w:rsidRDefault="00932A15" w:rsidP="00A6730D">
            <w:pPr>
              <w:spacing w:before="0" w:after="0" w:line="240" w:lineRule="auto"/>
              <w:rPr>
                <w:sz w:val="20"/>
                <w:szCs w:val="20"/>
              </w:rPr>
            </w:pPr>
            <w:r w:rsidRPr="006745E0">
              <w:rPr>
                <w:sz w:val="20"/>
                <w:szCs w:val="20"/>
              </w:rPr>
              <w:t>Varies by climate zone, building type, vintage, lighting type and vintage</w:t>
            </w:r>
          </w:p>
        </w:tc>
        <w:tc>
          <w:tcPr>
            <w:tcW w:w="3590" w:type="dxa"/>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76DF689C" w14:textId="6425C919" w:rsidR="00932A15" w:rsidRPr="007758CE" w:rsidRDefault="002C117F" w:rsidP="00A6730D">
            <w:pPr>
              <w:pStyle w:val="FootnoteText"/>
              <w:spacing w:before="0" w:after="0" w:line="240" w:lineRule="auto"/>
              <w:rPr>
                <w:szCs w:val="18"/>
              </w:rPr>
            </w:pPr>
            <w:r w:rsidRPr="009303E9">
              <w:t>California Public Utilities Commission (CPUC). 20</w:t>
            </w:r>
            <w:r>
              <w:t>20</w:t>
            </w:r>
            <w:r w:rsidRPr="009303E9">
              <w:t>. "SupportTable_2020-Com-InLtg.</w:t>
            </w:r>
            <w:r>
              <w:t>csv</w:t>
            </w:r>
            <w:r w:rsidRPr="009303E9">
              <w:t>."</w:t>
            </w:r>
          </w:p>
        </w:tc>
      </w:tr>
      <w:tr w:rsidR="00932A15" w:rsidRPr="001776B9" w14:paraId="1F11CFF7" w14:textId="77777777" w:rsidTr="00A6730D">
        <w:trPr>
          <w:cantSplit/>
          <w:trHeight w:val="20"/>
        </w:trPr>
        <w:tc>
          <w:tcPr>
            <w:tcW w:w="31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869070F" w14:textId="77777777" w:rsidR="00932A15" w:rsidRPr="006745E0" w:rsidRDefault="00932A15" w:rsidP="00A6730D">
            <w:pPr>
              <w:spacing w:before="0" w:after="0" w:line="240" w:lineRule="auto"/>
              <w:rPr>
                <w:sz w:val="20"/>
                <w:szCs w:val="20"/>
              </w:rPr>
            </w:pPr>
            <w:r w:rsidRPr="006745E0">
              <w:rPr>
                <w:sz w:val="20"/>
                <w:szCs w:val="20"/>
              </w:rPr>
              <w:t xml:space="preserve">Lighting coincident demand factor (CDF) – residential </w:t>
            </w:r>
          </w:p>
        </w:tc>
        <w:tc>
          <w:tcPr>
            <w:tcW w:w="261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408C50" w14:textId="77777777" w:rsidR="00932A15" w:rsidRPr="006745E0" w:rsidRDefault="00932A15" w:rsidP="00A6730D">
            <w:pPr>
              <w:spacing w:before="0" w:after="0" w:line="240" w:lineRule="auto"/>
              <w:rPr>
                <w:sz w:val="20"/>
                <w:szCs w:val="20"/>
              </w:rPr>
            </w:pPr>
            <w:r w:rsidRPr="006745E0">
              <w:rPr>
                <w:sz w:val="20"/>
                <w:szCs w:val="20"/>
              </w:rPr>
              <w:t>Varies by building type and vintage</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53A5F1" w14:textId="18A0B96C" w:rsidR="00932A15" w:rsidRPr="007758CE" w:rsidRDefault="00932A15" w:rsidP="00A6730D">
            <w:pPr>
              <w:pStyle w:val="FootnoteText"/>
              <w:spacing w:before="0" w:after="0" w:line="240" w:lineRule="auto"/>
              <w:rPr>
                <w:szCs w:val="18"/>
              </w:rPr>
            </w:pPr>
            <w:r w:rsidRPr="009232E1">
              <w:t>California Public Utilities Commission (CPUC). 20</w:t>
            </w:r>
            <w:r w:rsidR="002C117F">
              <w:t>20</w:t>
            </w:r>
            <w:r w:rsidRPr="009232E1">
              <w:t>. "SupportTable_2020-Res-InLtg.</w:t>
            </w:r>
            <w:r w:rsidR="007844E1">
              <w:t>csv</w:t>
            </w:r>
            <w:r w:rsidRPr="009232E1">
              <w:t>."</w:t>
            </w:r>
          </w:p>
        </w:tc>
      </w:tr>
      <w:tr w:rsidR="002C117F" w:rsidRPr="001776B9" w14:paraId="6021020B" w14:textId="77777777" w:rsidTr="00A6730D">
        <w:trPr>
          <w:cantSplit/>
          <w:trHeight w:val="20"/>
        </w:trPr>
        <w:tc>
          <w:tcPr>
            <w:tcW w:w="31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964002A" w14:textId="77777777" w:rsidR="002C117F" w:rsidRPr="006745E0" w:rsidRDefault="002C117F" w:rsidP="002C117F">
            <w:pPr>
              <w:spacing w:before="0" w:after="0" w:line="240" w:lineRule="auto"/>
              <w:rPr>
                <w:sz w:val="20"/>
                <w:szCs w:val="20"/>
              </w:rPr>
            </w:pPr>
            <w:r w:rsidRPr="006745E0">
              <w:rPr>
                <w:sz w:val="20"/>
                <w:szCs w:val="20"/>
              </w:rPr>
              <w:t>Interactive effects - residential</w:t>
            </w:r>
          </w:p>
        </w:tc>
        <w:tc>
          <w:tcPr>
            <w:tcW w:w="261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C66FF08" w14:textId="77777777" w:rsidR="002C117F" w:rsidRPr="006745E0" w:rsidRDefault="002C117F" w:rsidP="002C117F">
            <w:pPr>
              <w:spacing w:before="0" w:after="0" w:line="240" w:lineRule="auto"/>
              <w:rPr>
                <w:sz w:val="20"/>
                <w:szCs w:val="20"/>
              </w:rPr>
            </w:pPr>
            <w:r w:rsidRPr="006745E0">
              <w:rPr>
                <w:sz w:val="20"/>
                <w:szCs w:val="20"/>
              </w:rPr>
              <w:t>Varies by climate zone, building type, and vintage</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652C373" w14:textId="409BABA0" w:rsidR="002C117F" w:rsidRPr="007758CE" w:rsidRDefault="002C117F" w:rsidP="002C117F">
            <w:pPr>
              <w:pStyle w:val="FootnoteText"/>
              <w:spacing w:before="0" w:after="0" w:line="240" w:lineRule="auto"/>
              <w:rPr>
                <w:szCs w:val="18"/>
              </w:rPr>
            </w:pPr>
            <w:r w:rsidRPr="009232E1">
              <w:t>California Public Utilities Commission (CPUC). 20</w:t>
            </w:r>
            <w:r>
              <w:t>20</w:t>
            </w:r>
            <w:r w:rsidRPr="009232E1">
              <w:t>. "SupportTable_2020-Res-InLtg.</w:t>
            </w:r>
            <w:r>
              <w:t>csv</w:t>
            </w:r>
            <w:r w:rsidRPr="009232E1">
              <w:t>."</w:t>
            </w:r>
          </w:p>
        </w:tc>
      </w:tr>
      <w:tr w:rsidR="002C117F" w:rsidRPr="001776B9" w14:paraId="7825F97F" w14:textId="77777777" w:rsidTr="00A6730D">
        <w:trPr>
          <w:cantSplit/>
          <w:trHeight w:val="20"/>
        </w:trPr>
        <w:tc>
          <w:tcPr>
            <w:tcW w:w="31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585628" w14:textId="77777777" w:rsidR="002C117F" w:rsidRPr="006745E0" w:rsidRDefault="002C117F" w:rsidP="002C117F">
            <w:pPr>
              <w:spacing w:before="0" w:after="0" w:line="240" w:lineRule="auto"/>
              <w:rPr>
                <w:sz w:val="20"/>
                <w:szCs w:val="20"/>
              </w:rPr>
            </w:pPr>
            <w:r w:rsidRPr="006745E0">
              <w:rPr>
                <w:sz w:val="20"/>
                <w:szCs w:val="20"/>
              </w:rPr>
              <w:t>Lighting coincident demand factor (CDF) – parking garages</w:t>
            </w:r>
          </w:p>
        </w:tc>
        <w:tc>
          <w:tcPr>
            <w:tcW w:w="261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0EE2787" w14:textId="77777777" w:rsidR="002C117F" w:rsidRPr="006745E0" w:rsidRDefault="002C117F" w:rsidP="002C117F">
            <w:pPr>
              <w:spacing w:before="0" w:after="0" w:line="240" w:lineRule="auto"/>
              <w:rPr>
                <w:sz w:val="20"/>
                <w:szCs w:val="20"/>
              </w:rPr>
            </w:pPr>
            <w:r w:rsidRPr="006745E0">
              <w:rPr>
                <w:sz w:val="20"/>
                <w:szCs w:val="20"/>
              </w:rPr>
              <w:t>Varies by building type, vintage, lighting type and vintage</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B6F4E91" w14:textId="77777777" w:rsidR="002C117F" w:rsidRPr="000B4D61" w:rsidRDefault="002C117F" w:rsidP="002C117F">
            <w:pPr>
              <w:pStyle w:val="FootnoteText"/>
              <w:spacing w:before="0" w:after="0" w:line="240" w:lineRule="auto"/>
            </w:pPr>
            <w:r>
              <w:t>Parking garage CDF is assumed to be the same as the Non-Res building CDF.</w:t>
            </w:r>
          </w:p>
        </w:tc>
      </w:tr>
      <w:tr w:rsidR="002C117F" w:rsidRPr="001776B9" w14:paraId="0A5EDC5C" w14:textId="77777777" w:rsidTr="00A6730D">
        <w:trPr>
          <w:cantSplit/>
          <w:trHeight w:val="20"/>
        </w:trPr>
        <w:tc>
          <w:tcPr>
            <w:tcW w:w="31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5A6B22" w14:textId="77777777" w:rsidR="002C117F" w:rsidRPr="00A43A8D" w:rsidRDefault="002C117F" w:rsidP="002C117F">
            <w:pPr>
              <w:spacing w:before="0" w:after="0" w:line="240" w:lineRule="auto"/>
              <w:rPr>
                <w:sz w:val="20"/>
                <w:szCs w:val="20"/>
              </w:rPr>
            </w:pPr>
            <w:r w:rsidRPr="00A43A8D">
              <w:rPr>
                <w:sz w:val="20"/>
                <w:szCs w:val="20"/>
              </w:rPr>
              <w:t>Interactive effects multiplier – parking garages</w:t>
            </w:r>
          </w:p>
          <w:p w14:paraId="63E181D5" w14:textId="2ACCCFB2" w:rsidR="002C117F" w:rsidRPr="006745E0" w:rsidRDefault="002C117F" w:rsidP="002C117F">
            <w:pPr>
              <w:spacing w:before="0" w:after="0" w:line="240" w:lineRule="auto"/>
              <w:rPr>
                <w:sz w:val="20"/>
                <w:szCs w:val="20"/>
              </w:rPr>
            </w:pPr>
            <w:r w:rsidRPr="00A43A8D">
              <w:rPr>
                <w:sz w:val="20"/>
                <w:szCs w:val="20"/>
              </w:rPr>
              <w:t>(interactive effects multiplier for unconditioned spaces)</w:t>
            </w:r>
          </w:p>
        </w:tc>
        <w:tc>
          <w:tcPr>
            <w:tcW w:w="261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3EBC97" w14:textId="1224B389" w:rsidR="002C117F" w:rsidRPr="006745E0" w:rsidRDefault="002C117F" w:rsidP="002C117F">
            <w:pPr>
              <w:spacing w:before="0" w:after="0" w:line="240" w:lineRule="auto"/>
              <w:jc w:val="center"/>
              <w:rPr>
                <w:sz w:val="20"/>
                <w:szCs w:val="20"/>
              </w:rPr>
            </w:pPr>
            <w:r w:rsidRPr="006745E0">
              <w:rPr>
                <w:sz w:val="20"/>
                <w:szCs w:val="20"/>
              </w:rPr>
              <w:t>1.0</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AD5E27E" w14:textId="2F13F0CB" w:rsidR="002C117F" w:rsidRPr="000B4D61" w:rsidRDefault="002C117F" w:rsidP="002C117F">
            <w:pPr>
              <w:pStyle w:val="FootnoteText"/>
              <w:spacing w:before="0" w:after="0" w:line="240" w:lineRule="auto"/>
            </w:pPr>
            <w:r w:rsidRPr="003A0605">
              <w:t>California Public Utilities Commission (CPUC). 20</w:t>
            </w:r>
            <w:r>
              <w:t>20</w:t>
            </w:r>
            <w:r w:rsidRPr="003A0605">
              <w:t>. "SupportTable_2020-Com-InLtg.</w:t>
            </w:r>
            <w:r>
              <w:t>csv</w:t>
            </w:r>
            <w:r w:rsidRPr="003A0605">
              <w:t>."</w:t>
            </w:r>
          </w:p>
        </w:tc>
      </w:tr>
      <w:bookmarkEnd w:id="60"/>
    </w:tbl>
    <w:p w14:paraId="74386E11" w14:textId="77777777" w:rsidR="00932A15" w:rsidRDefault="00932A15" w:rsidP="00932A15"/>
    <w:p w14:paraId="7A36868E" w14:textId="70CE7F61" w:rsidR="0005151B" w:rsidRDefault="0005151B" w:rsidP="0005151B">
      <w:r>
        <w:t>The resultant LED T8 lamp demand reduction varies</w:t>
      </w:r>
      <w:r w:rsidRPr="00E64ED0">
        <w:t xml:space="preserve"> by market sector and building type</w:t>
      </w:r>
      <w:r>
        <w:t xml:space="preserve">, due to </w:t>
      </w:r>
      <w:r w:rsidRPr="00E64ED0">
        <w:t>differences in interactive effect</w:t>
      </w:r>
      <w:r>
        <w:t>s</w:t>
      </w:r>
      <w:r w:rsidRPr="00E64ED0">
        <w:t>.</w:t>
      </w:r>
    </w:p>
    <w:bookmarkEnd w:id="59"/>
    <w:p w14:paraId="18D4F5B7" w14:textId="530458B5" w:rsidR="0005151B" w:rsidRDefault="0005151B" w:rsidP="0005151B">
      <w:pPr>
        <w:pStyle w:val="Reminders"/>
        <w:rPr>
          <w:rFonts w:asciiTheme="minorHAnsi" w:hAnsiTheme="minorHAnsi" w:cstheme="minorHAnsi"/>
          <w:i w:val="0"/>
          <w:color w:val="auto"/>
          <w:szCs w:val="22"/>
        </w:rPr>
      </w:pPr>
    </w:p>
    <w:p w14:paraId="68CBF1E4" w14:textId="77777777" w:rsidR="007844E1" w:rsidRDefault="007844E1" w:rsidP="0005151B">
      <w:pPr>
        <w:pStyle w:val="Reminders"/>
        <w:rPr>
          <w:rFonts w:asciiTheme="minorHAnsi" w:hAnsiTheme="minorHAnsi" w:cstheme="minorHAnsi"/>
          <w:i w:val="0"/>
          <w:color w:val="auto"/>
          <w:szCs w:val="22"/>
        </w:rPr>
      </w:pPr>
    </w:p>
    <w:p w14:paraId="7C1B7D46" w14:textId="73C3EEC9" w:rsidR="00932A15" w:rsidRPr="007844E1" w:rsidRDefault="007844E1" w:rsidP="007844E1">
      <w:pPr>
        <w:pStyle w:val="Reminders"/>
        <w:ind w:left="720" w:right="1440"/>
        <w:rPr>
          <w:rFonts w:ascii="Calibri Light" w:hAnsi="Calibri Light" w:cstheme="minorHAnsi"/>
          <w:i w:val="0"/>
          <w:color w:val="auto"/>
          <w:sz w:val="20"/>
          <w:szCs w:val="22"/>
        </w:rPr>
      </w:pPr>
      <w:r w:rsidRPr="007844E1">
        <w:rPr>
          <w:rFonts w:ascii="Calibri Light" w:hAnsi="Calibri Light" w:cstheme="minorHAnsi"/>
          <w:b/>
          <w:i w:val="0"/>
          <w:color w:val="auto"/>
          <w:sz w:val="20"/>
          <w:szCs w:val="22"/>
        </w:rPr>
        <w:t>Sample Calculation.</w:t>
      </w:r>
      <w:r>
        <w:rPr>
          <w:rFonts w:ascii="Calibri Light" w:hAnsi="Calibri Light" w:cstheme="minorHAnsi"/>
          <w:i w:val="0"/>
          <w:color w:val="auto"/>
          <w:sz w:val="20"/>
          <w:szCs w:val="22"/>
        </w:rPr>
        <w:t xml:space="preserve"> </w:t>
      </w:r>
      <w:r w:rsidR="00932A15" w:rsidRPr="007844E1">
        <w:rPr>
          <w:rFonts w:ascii="Calibri Light" w:hAnsi="Calibri Light" w:cstheme="minorHAnsi"/>
          <w:i w:val="0"/>
          <w:color w:val="auto"/>
          <w:sz w:val="20"/>
          <w:szCs w:val="22"/>
        </w:rPr>
        <w:t>A sample demand reduction calculation is provided below for a 4-foot LED T8 Lamp UL Type A replacing Linear Fluorescent T8 Lamp in an Assembly building type, Climate Zone 6, and accelerated replacement installation type.</w:t>
      </w:r>
    </w:p>
    <w:p w14:paraId="6F1C8664" w14:textId="103B318A" w:rsidR="00932A15" w:rsidRPr="007844E1" w:rsidRDefault="00932A15" w:rsidP="007844E1">
      <w:pPr>
        <w:ind w:left="720" w:right="1440"/>
        <w:rPr>
          <w:rFonts w:cstheme="minorHAnsi"/>
          <w:sz w:val="16"/>
          <w:szCs w:val="20"/>
        </w:rPr>
      </w:pPr>
      <m:oMathPara>
        <m:oMathParaPr>
          <m:jc m:val="left"/>
        </m:oMathParaPr>
        <m:oMath>
          <m:r>
            <w:rPr>
              <w:rFonts w:ascii="Cambria Math" w:hAnsi="Cambria Math" w:cstheme="minorHAnsi"/>
              <w:sz w:val="16"/>
              <w:szCs w:val="20"/>
            </w:rPr>
            <m:t>Demand</m:t>
          </m:r>
          <m:r>
            <w:rPr>
              <w:rFonts w:ascii="Cambria Math" w:cstheme="minorHAnsi"/>
              <w:sz w:val="16"/>
              <w:szCs w:val="20"/>
            </w:rPr>
            <m:t xml:space="preserve"> </m:t>
          </m:r>
          <m:r>
            <w:rPr>
              <w:rFonts w:ascii="Cambria Math" w:hAnsi="Cambria Math" w:cstheme="minorHAnsi"/>
              <w:sz w:val="16"/>
              <w:szCs w:val="20"/>
            </w:rPr>
            <m:t>Reduction</m:t>
          </m:r>
          <m:r>
            <w:rPr>
              <w:rFonts w:ascii="Cambria Math" w:cstheme="minorHAnsi"/>
              <w:sz w:val="16"/>
              <w:szCs w:val="20"/>
            </w:rPr>
            <m:t>=</m:t>
          </m:r>
          <m:f>
            <m:fPr>
              <m:ctrlPr>
                <w:rPr>
                  <w:rFonts w:ascii="Cambria Math" w:hAnsi="Cambria Math" w:cstheme="minorHAnsi"/>
                  <w:i/>
                  <w:sz w:val="16"/>
                  <w:szCs w:val="20"/>
                </w:rPr>
              </m:ctrlPr>
            </m:fPr>
            <m:num>
              <m:d>
                <m:dPr>
                  <m:ctrlPr>
                    <w:rPr>
                      <w:rFonts w:ascii="Cambria Math" w:hAnsi="Cambria Math" w:cstheme="minorHAnsi"/>
                      <w:i/>
                      <w:sz w:val="16"/>
                      <w:szCs w:val="20"/>
                    </w:rPr>
                  </m:ctrlPr>
                </m:dPr>
                <m:e>
                  <m:r>
                    <w:rPr>
                      <w:rFonts w:ascii="Cambria Math" w:cstheme="minorHAnsi"/>
                      <w:sz w:val="16"/>
                      <w:szCs w:val="20"/>
                    </w:rPr>
                    <m:t>26.68</m:t>
                  </m:r>
                  <m:r>
                    <w:rPr>
                      <w:rFonts w:ascii="Cambria Math" w:hAnsi="Cambria Math" w:cstheme="minorHAnsi"/>
                      <w:sz w:val="16"/>
                      <w:szCs w:val="20"/>
                    </w:rPr>
                    <m:t>-</m:t>
                  </m:r>
                  <m:r>
                    <w:rPr>
                      <w:rFonts w:ascii="Cambria Math" w:cstheme="minorHAnsi"/>
                      <w:sz w:val="16"/>
                      <w:szCs w:val="20"/>
                    </w:rPr>
                    <m:t>14.58</m:t>
                  </m:r>
                </m:e>
              </m:d>
              <m:r>
                <w:rPr>
                  <w:rFonts w:ascii="Cambria Math" w:hAnsi="Cambria Math" w:cstheme="minorHAnsi"/>
                  <w:sz w:val="16"/>
                  <w:szCs w:val="20"/>
                </w:rPr>
                <m:t>×</m:t>
              </m:r>
              <m:r>
                <w:rPr>
                  <w:rFonts w:ascii="Cambria Math" w:cstheme="minorHAnsi"/>
                  <w:sz w:val="16"/>
                  <w:szCs w:val="20"/>
                </w:rPr>
                <m:t>.226</m:t>
              </m:r>
              <m:r>
                <w:rPr>
                  <w:rFonts w:ascii="Cambria Math" w:hAnsi="Cambria Math" w:cstheme="minorHAnsi"/>
                  <w:sz w:val="16"/>
                  <w:szCs w:val="20"/>
                </w:rPr>
                <m:t>×</m:t>
              </m:r>
              <m:r>
                <w:rPr>
                  <w:rFonts w:ascii="Cambria Math" w:cstheme="minorHAnsi"/>
                  <w:sz w:val="16"/>
                  <w:szCs w:val="20"/>
                </w:rPr>
                <m:t>1.23</m:t>
              </m:r>
            </m:num>
            <m:den>
              <m:r>
                <w:rPr>
                  <w:rFonts w:ascii="Cambria Math" w:cstheme="minorHAnsi"/>
                  <w:sz w:val="16"/>
                  <w:szCs w:val="20"/>
                </w:rPr>
                <m:t>1,000</m:t>
              </m:r>
              <m:d>
                <m:dPr>
                  <m:ctrlPr>
                    <w:rPr>
                      <w:rFonts w:ascii="Cambria Math" w:hAnsi="Cambria Math" w:cstheme="minorHAnsi"/>
                      <w:i/>
                      <w:sz w:val="16"/>
                      <w:szCs w:val="20"/>
                    </w:rPr>
                  </m:ctrlPr>
                </m:dPr>
                <m:e>
                  <m:f>
                    <m:fPr>
                      <m:ctrlPr>
                        <w:rPr>
                          <w:rFonts w:ascii="Cambria Math" w:hAnsi="Cambria Math" w:cstheme="minorHAnsi"/>
                          <w:i/>
                          <w:sz w:val="16"/>
                          <w:szCs w:val="20"/>
                        </w:rPr>
                      </m:ctrlPr>
                    </m:fPr>
                    <m:num>
                      <m:r>
                        <w:rPr>
                          <w:rFonts w:ascii="Cambria Math" w:hAnsi="Cambria Math" w:cstheme="minorHAnsi"/>
                          <w:sz w:val="16"/>
                          <w:szCs w:val="20"/>
                        </w:rPr>
                        <m:t>Watt</m:t>
                      </m:r>
                    </m:num>
                    <m:den>
                      <m:r>
                        <w:rPr>
                          <w:rFonts w:ascii="Cambria Math" w:hAnsi="Cambria Math" w:cstheme="minorHAnsi"/>
                          <w:sz w:val="16"/>
                          <w:szCs w:val="20"/>
                        </w:rPr>
                        <m:t>kW</m:t>
                      </m:r>
                    </m:den>
                  </m:f>
                </m:e>
              </m:d>
            </m:den>
          </m:f>
        </m:oMath>
      </m:oMathPara>
    </w:p>
    <w:p w14:paraId="345CA5F6" w14:textId="77777777" w:rsidR="00932A15" w:rsidRPr="007844E1" w:rsidRDefault="00932A15" w:rsidP="007844E1">
      <w:pPr>
        <w:ind w:left="720" w:right="1440"/>
        <w:rPr>
          <w:rFonts w:cstheme="minorHAnsi"/>
          <w:sz w:val="16"/>
          <w:szCs w:val="20"/>
        </w:rPr>
      </w:pPr>
      <m:oMathPara>
        <m:oMathParaPr>
          <m:jc m:val="left"/>
        </m:oMathParaPr>
        <m:oMath>
          <m:r>
            <w:rPr>
              <w:rFonts w:ascii="Cambria Math" w:hAnsi="Cambria Math" w:cstheme="minorHAnsi"/>
              <w:sz w:val="16"/>
              <w:szCs w:val="20"/>
            </w:rPr>
            <m:t>Demand</m:t>
          </m:r>
          <m:r>
            <w:rPr>
              <w:rFonts w:ascii="Cambria Math" w:cstheme="minorHAnsi"/>
              <w:sz w:val="16"/>
              <w:szCs w:val="20"/>
            </w:rPr>
            <m:t xml:space="preserve"> </m:t>
          </m:r>
          <m:r>
            <w:rPr>
              <w:rFonts w:ascii="Cambria Math" w:hAnsi="Cambria Math" w:cstheme="minorHAnsi"/>
              <w:sz w:val="16"/>
              <w:szCs w:val="20"/>
            </w:rPr>
            <m:t>Reduction</m:t>
          </m:r>
          <m:r>
            <w:rPr>
              <w:rFonts w:ascii="Cambria Math" w:cstheme="minorHAnsi"/>
              <w:sz w:val="16"/>
              <w:szCs w:val="20"/>
            </w:rPr>
            <m:t>=0.00336</m:t>
          </m:r>
          <m:f>
            <m:fPr>
              <m:ctrlPr>
                <w:rPr>
                  <w:rFonts w:ascii="Cambria Math" w:hAnsi="Cambria Math" w:cstheme="minorHAnsi"/>
                  <w:i/>
                  <w:sz w:val="16"/>
                  <w:szCs w:val="20"/>
                </w:rPr>
              </m:ctrlPr>
            </m:fPr>
            <m:num>
              <m:r>
                <w:rPr>
                  <w:rFonts w:ascii="Cambria Math" w:hAnsi="Cambria Math" w:cstheme="minorHAnsi"/>
                  <w:sz w:val="16"/>
                  <w:szCs w:val="20"/>
                </w:rPr>
                <m:t>kW</m:t>
              </m:r>
            </m:num>
            <m:den>
              <m:r>
                <w:rPr>
                  <w:rFonts w:ascii="Cambria Math" w:hAnsi="Cambria Math" w:cstheme="minorHAnsi"/>
                  <w:sz w:val="16"/>
                  <w:szCs w:val="20"/>
                </w:rPr>
                <m:t>Unit</m:t>
              </m:r>
            </m:den>
          </m:f>
        </m:oMath>
      </m:oMathPara>
    </w:p>
    <w:p w14:paraId="5D2E24B7" w14:textId="6288F52E" w:rsidR="0005151B" w:rsidRDefault="0005151B" w:rsidP="0005151B"/>
    <w:p w14:paraId="3B32CB50" w14:textId="77777777" w:rsidR="00811365" w:rsidRDefault="00811365" w:rsidP="0005151B"/>
    <w:p w14:paraId="4E435885" w14:textId="77777777" w:rsidR="002F2319" w:rsidRPr="008B1914" w:rsidRDefault="007D230B" w:rsidP="00C15BD9">
      <w:pPr>
        <w:pStyle w:val="eTRMHeading3"/>
      </w:pPr>
      <w:bookmarkStart w:id="61" w:name="_Toc486490858"/>
      <w:bookmarkStart w:id="62" w:name="_Toc486580929"/>
      <w:bookmarkStart w:id="63" w:name="_Toc40948497"/>
      <w:r w:rsidRPr="004B06E3">
        <w:t>Gas Savings</w:t>
      </w:r>
      <w:r w:rsidR="00245AFF" w:rsidRPr="004B06E3">
        <w:t xml:space="preserve"> (Therms)</w:t>
      </w:r>
      <w:bookmarkEnd w:id="61"/>
      <w:bookmarkEnd w:id="62"/>
      <w:r w:rsidR="002F2319" w:rsidRPr="008B1914">
        <w:t>.</w:t>
      </w:r>
      <w:bookmarkEnd w:id="63"/>
      <w:r w:rsidR="002F2319" w:rsidRPr="008B1914">
        <w:t xml:space="preserve"> </w:t>
      </w:r>
    </w:p>
    <w:p w14:paraId="08A7D092" w14:textId="14552EF0" w:rsidR="00C15BD9" w:rsidRDefault="00C15BD9" w:rsidP="00C15BD9">
      <w:bookmarkStart w:id="64" w:name="_Ref498105396"/>
      <w:r>
        <w:t xml:space="preserve">The estimated gas savings of an LED T8 lamp are based solely on the estimated change of gas consumption as reflected by a gas HVAC interactive effects multiplier. </w:t>
      </w:r>
    </w:p>
    <w:p w14:paraId="22F65B0C" w14:textId="77777777" w:rsidR="00932A15" w:rsidRDefault="00932A15" w:rsidP="00C15BD9"/>
    <w:bookmarkEnd w:id="64"/>
    <w:p w14:paraId="35FA33DB" w14:textId="7AF85387" w:rsidR="00243F7F" w:rsidRPr="00A6479A" w:rsidRDefault="00243F7F" w:rsidP="00243F7F">
      <w:pPr>
        <w:ind w:left="720" w:hanging="720"/>
        <w:rPr>
          <w:sz w:val="18"/>
        </w:rPr>
      </w:pPr>
      <m:oMathPara>
        <m:oMathParaPr>
          <m:jc m:val="left"/>
        </m:oMathParaPr>
        <m:oMath>
          <m:r>
            <w:rPr>
              <w:rFonts w:ascii="Cambria Math" w:hAnsi="Cambria Math"/>
              <w:sz w:val="18"/>
            </w:rPr>
            <m:t>UES=</m:t>
          </m:r>
          <m:f>
            <m:fPr>
              <m:ctrlPr>
                <w:rPr>
                  <w:rFonts w:ascii="Cambria Math" w:hAnsi="Cambria Math"/>
                  <w:i/>
                  <w:sz w:val="18"/>
                </w:rPr>
              </m:ctrlPr>
            </m:fPr>
            <m:num>
              <m:r>
                <w:rPr>
                  <w:rFonts w:ascii="Cambria Math" w:hAnsi="Cambria Math"/>
                  <w:sz w:val="18"/>
                </w:rPr>
                <m:t>∆W×HOURS×</m:t>
              </m:r>
              <m:sSub>
                <m:sSubPr>
                  <m:ctrlPr>
                    <w:rPr>
                      <w:rFonts w:ascii="Cambria Math" w:hAnsi="Cambria Math"/>
                      <w:i/>
                      <w:sz w:val="18"/>
                    </w:rPr>
                  </m:ctrlPr>
                </m:sSubPr>
                <m:e>
                  <m:r>
                    <w:rPr>
                      <w:rFonts w:ascii="Cambria Math" w:hAnsi="Cambria Math"/>
                      <w:sz w:val="18"/>
                    </w:rPr>
                    <m:t>IE</m:t>
                  </m:r>
                </m:e>
                <m:sub>
                  <m:r>
                    <w:rPr>
                      <w:rFonts w:ascii="Cambria Math" w:hAnsi="Cambria Math"/>
                      <w:sz w:val="18"/>
                    </w:rPr>
                    <m:t>gas</m:t>
                  </m:r>
                </m:sub>
              </m:sSub>
            </m:num>
            <m:den>
              <m:r>
                <w:rPr>
                  <w:rFonts w:ascii="Cambria Math" w:hAnsi="Cambria Math"/>
                  <w:sz w:val="18"/>
                </w:rPr>
                <m:t>1,000 Wh/ kWh</m:t>
              </m:r>
            </m:den>
          </m:f>
        </m:oMath>
      </m:oMathPara>
    </w:p>
    <w:p w14:paraId="5AA43086" w14:textId="77777777" w:rsidR="00243F7F" w:rsidRDefault="00243F7F" w:rsidP="0044046F">
      <w:pPr>
        <w:pStyle w:val="Reminders"/>
        <w:spacing w:beforeLines="20" w:before="48" w:afterLines="20" w:after="48"/>
        <w:ind w:left="1440"/>
        <w:rPr>
          <w:rFonts w:asciiTheme="minorHAnsi" w:hAnsiTheme="minorHAnsi" w:cstheme="minorHAnsi"/>
          <w:color w:val="191919" w:themeColor="text1"/>
          <w:szCs w:val="22"/>
        </w:rPr>
      </w:pPr>
    </w:p>
    <w:p w14:paraId="0D2F15B2" w14:textId="301F72DD" w:rsidR="00243F7F" w:rsidRPr="00A6479A" w:rsidRDefault="00243F7F" w:rsidP="0044046F">
      <w:pPr>
        <w:spacing w:beforeLines="20" w:before="48" w:afterLines="20" w:after="48"/>
        <w:ind w:left="1530"/>
        <w:rPr>
          <w:rFonts w:ascii="Cambria Math" w:hAnsi="Cambria Math"/>
          <w:i/>
          <w:sz w:val="18"/>
          <w:szCs w:val="18"/>
        </w:rPr>
      </w:pPr>
      <w:r w:rsidRPr="00A6479A">
        <w:rPr>
          <w:rFonts w:ascii="Cambria Math" w:hAnsi="Cambria Math"/>
          <w:i/>
          <w:sz w:val="18"/>
          <w:szCs w:val="18"/>
        </w:rPr>
        <w:t xml:space="preserve">UES = </w:t>
      </w:r>
      <w:r>
        <w:rPr>
          <w:rFonts w:ascii="Cambria Math" w:hAnsi="Cambria Math"/>
          <w:i/>
          <w:sz w:val="18"/>
          <w:szCs w:val="18"/>
        </w:rPr>
        <w:tab/>
      </w:r>
      <w:r>
        <w:rPr>
          <w:rFonts w:ascii="Cambria Math" w:hAnsi="Cambria Math"/>
          <w:i/>
          <w:sz w:val="18"/>
          <w:szCs w:val="18"/>
        </w:rPr>
        <w:tab/>
        <w:t>U</w:t>
      </w:r>
      <w:r w:rsidRPr="00A6479A">
        <w:rPr>
          <w:rFonts w:ascii="Cambria Math" w:hAnsi="Cambria Math"/>
          <w:i/>
          <w:sz w:val="18"/>
          <w:szCs w:val="18"/>
        </w:rPr>
        <w:t>nit energy savings (</w:t>
      </w:r>
      <w:r>
        <w:rPr>
          <w:rFonts w:ascii="Cambria Math" w:hAnsi="Cambria Math"/>
          <w:i/>
          <w:sz w:val="18"/>
          <w:szCs w:val="18"/>
        </w:rPr>
        <w:t>therms</w:t>
      </w:r>
      <w:r w:rsidRPr="00A6479A">
        <w:rPr>
          <w:rFonts w:ascii="Cambria Math" w:hAnsi="Cambria Math"/>
          <w:i/>
          <w:sz w:val="18"/>
          <w:szCs w:val="18"/>
        </w:rPr>
        <w:t xml:space="preserve"> per lamp)</w:t>
      </w:r>
    </w:p>
    <w:p w14:paraId="62601285" w14:textId="77777777" w:rsidR="00243F7F" w:rsidRPr="00A6479A" w:rsidRDefault="00243F7F" w:rsidP="0044046F">
      <w:pPr>
        <w:spacing w:beforeLines="20" w:before="48" w:afterLines="20" w:after="48"/>
        <w:ind w:left="1530"/>
        <w:rPr>
          <w:rFonts w:ascii="Cambria Math" w:hAnsi="Cambria Math"/>
          <w:i/>
          <w:sz w:val="18"/>
          <w:szCs w:val="18"/>
        </w:rPr>
      </w:pPr>
      <w:r w:rsidRPr="00A6479A">
        <w:rPr>
          <w:rFonts w:ascii="Cambria Math" w:hAnsi="Cambria Math"/>
          <w:i/>
          <w:sz w:val="18"/>
          <w:szCs w:val="18"/>
        </w:rPr>
        <w:t xml:space="preserve">∆Watts/unit = </w:t>
      </w:r>
      <w:r>
        <w:rPr>
          <w:rFonts w:ascii="Cambria Math" w:hAnsi="Cambria Math"/>
          <w:i/>
          <w:sz w:val="18"/>
          <w:szCs w:val="18"/>
        </w:rPr>
        <w:tab/>
      </w:r>
      <w:r w:rsidRPr="00A6479A">
        <w:rPr>
          <w:rFonts w:ascii="Cambria Math" w:hAnsi="Cambria Math"/>
          <w:i/>
          <w:sz w:val="18"/>
          <w:szCs w:val="18"/>
        </w:rPr>
        <w:t>(Base Case Average Watts per lamp) – (Measure Case Average Watts per lamp)</w:t>
      </w:r>
    </w:p>
    <w:p w14:paraId="1AB375C0" w14:textId="77777777" w:rsidR="00243F7F" w:rsidRPr="00A6479A" w:rsidRDefault="00243F7F" w:rsidP="0044046F">
      <w:pPr>
        <w:spacing w:beforeLines="20" w:before="48" w:afterLines="20" w:after="48"/>
        <w:ind w:left="1530"/>
        <w:rPr>
          <w:rFonts w:ascii="Cambria Math" w:hAnsi="Cambria Math"/>
          <w:i/>
          <w:sz w:val="18"/>
          <w:szCs w:val="18"/>
        </w:rPr>
      </w:pPr>
      <w:r w:rsidRPr="00A6479A">
        <w:rPr>
          <w:rFonts w:ascii="Cambria Math" w:hAnsi="Cambria Math"/>
          <w:i/>
          <w:sz w:val="18"/>
          <w:szCs w:val="18"/>
        </w:rPr>
        <w:t xml:space="preserve">HOURS = </w:t>
      </w:r>
      <w:r>
        <w:rPr>
          <w:rFonts w:ascii="Cambria Math" w:hAnsi="Cambria Math"/>
          <w:i/>
          <w:sz w:val="18"/>
          <w:szCs w:val="18"/>
        </w:rPr>
        <w:tab/>
      </w:r>
      <w:r w:rsidRPr="00A6479A">
        <w:rPr>
          <w:rFonts w:ascii="Cambria Math" w:hAnsi="Cambria Math"/>
          <w:i/>
          <w:sz w:val="18"/>
          <w:szCs w:val="18"/>
        </w:rPr>
        <w:t>Annual hours of use, by building type/space</w:t>
      </w:r>
    </w:p>
    <w:p w14:paraId="71B8FCC5" w14:textId="2E8E057C" w:rsidR="00243F7F" w:rsidRPr="00A6479A" w:rsidRDefault="00243F7F" w:rsidP="0044046F">
      <w:pPr>
        <w:spacing w:beforeLines="20" w:before="48" w:afterLines="20" w:after="48"/>
        <w:ind w:left="1530"/>
        <w:rPr>
          <w:rFonts w:ascii="Cambria Math" w:hAnsi="Cambria Math"/>
          <w:i/>
          <w:sz w:val="18"/>
          <w:szCs w:val="18"/>
        </w:rPr>
      </w:pPr>
      <w:proofErr w:type="spellStart"/>
      <w:r w:rsidRPr="00A6479A">
        <w:rPr>
          <w:rFonts w:ascii="Cambria Math" w:hAnsi="Cambria Math"/>
          <w:i/>
          <w:sz w:val="18"/>
          <w:szCs w:val="18"/>
        </w:rPr>
        <w:t>IE</w:t>
      </w:r>
      <w:r w:rsidRPr="00243F7F">
        <w:rPr>
          <w:rFonts w:ascii="Cambria Math" w:hAnsi="Cambria Math"/>
          <w:i/>
          <w:sz w:val="18"/>
          <w:szCs w:val="18"/>
          <w:vertAlign w:val="subscript"/>
        </w:rPr>
        <w:t>gas</w:t>
      </w:r>
      <w:proofErr w:type="spellEnd"/>
      <w:r w:rsidRPr="00A6479A">
        <w:rPr>
          <w:rFonts w:ascii="Cambria Math" w:hAnsi="Cambria Math"/>
          <w:i/>
          <w:sz w:val="18"/>
          <w:szCs w:val="18"/>
        </w:rPr>
        <w:t xml:space="preserve"> = </w:t>
      </w:r>
      <w:r>
        <w:rPr>
          <w:rFonts w:ascii="Cambria Math" w:hAnsi="Cambria Math"/>
          <w:i/>
          <w:sz w:val="18"/>
          <w:szCs w:val="18"/>
        </w:rPr>
        <w:tab/>
      </w:r>
      <w:r>
        <w:rPr>
          <w:rFonts w:ascii="Cambria Math" w:hAnsi="Cambria Math"/>
          <w:i/>
          <w:sz w:val="18"/>
          <w:szCs w:val="18"/>
        </w:rPr>
        <w:tab/>
        <w:t>HVAC gas i</w:t>
      </w:r>
      <w:r w:rsidRPr="00A6479A">
        <w:rPr>
          <w:rFonts w:ascii="Cambria Math" w:hAnsi="Cambria Math"/>
          <w:i/>
          <w:sz w:val="18"/>
          <w:szCs w:val="18"/>
        </w:rPr>
        <w:t xml:space="preserve">nteractive </w:t>
      </w:r>
      <w:r>
        <w:rPr>
          <w:rFonts w:ascii="Cambria Math" w:hAnsi="Cambria Math"/>
          <w:i/>
          <w:sz w:val="18"/>
          <w:szCs w:val="18"/>
        </w:rPr>
        <w:t>e</w:t>
      </w:r>
      <w:r w:rsidRPr="00A6479A">
        <w:rPr>
          <w:rFonts w:ascii="Cambria Math" w:hAnsi="Cambria Math"/>
          <w:i/>
          <w:sz w:val="18"/>
          <w:szCs w:val="18"/>
        </w:rPr>
        <w:t>ffects, by building type/space</w:t>
      </w:r>
    </w:p>
    <w:p w14:paraId="4474566B" w14:textId="77777777" w:rsidR="00EF30AD" w:rsidRDefault="00EF30AD" w:rsidP="004B06E3"/>
    <w:p w14:paraId="3E2417DE" w14:textId="2D4279B8" w:rsidR="003661BF" w:rsidRDefault="003661BF" w:rsidP="004B06E3">
      <w:r>
        <w:t xml:space="preserve">See the Electric Savings section for a discussion of each parameter in </w:t>
      </w:r>
      <w:r w:rsidR="001754AD">
        <w:t>the UES calculation</w:t>
      </w:r>
      <w:r>
        <w:t xml:space="preserve">. The sources of the input parameters for this calculation are provided </w:t>
      </w:r>
      <w:r w:rsidR="001754AD">
        <w:t>below</w:t>
      </w:r>
      <w:r>
        <w:t>.</w:t>
      </w:r>
    </w:p>
    <w:p w14:paraId="6A4C5EFA" w14:textId="177DF187" w:rsidR="00932A15" w:rsidRPr="00920905" w:rsidRDefault="00932A15">
      <w:pPr>
        <w:pStyle w:val="Caption"/>
      </w:pPr>
      <w:r>
        <w:t xml:space="preserve">LED </w:t>
      </w:r>
      <w:r w:rsidRPr="003661BF">
        <w:t>T8 Replacement Lamps UL Type A</w:t>
      </w:r>
      <w:r>
        <w:t xml:space="preserve"> Gas Energy Savings Parameters</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325"/>
        <w:gridCol w:w="2435"/>
        <w:gridCol w:w="3590"/>
      </w:tblGrid>
      <w:tr w:rsidR="00932A15" w:rsidRPr="00694410" w14:paraId="296030A1" w14:textId="77777777" w:rsidTr="006745E0">
        <w:trPr>
          <w:cantSplit/>
          <w:trHeight w:val="20"/>
        </w:trPr>
        <w:tc>
          <w:tcPr>
            <w:tcW w:w="3325" w:type="dxa"/>
            <w:shd w:val="clear" w:color="auto" w:fill="F2F2F2" w:themeFill="background1" w:themeFillShade="F2"/>
            <w:vAlign w:val="bottom"/>
          </w:tcPr>
          <w:p w14:paraId="0EE49888" w14:textId="77777777" w:rsidR="00932A15" w:rsidRPr="00694410" w:rsidRDefault="00932A15" w:rsidP="006745E0">
            <w:pPr>
              <w:spacing w:before="0" w:after="0" w:line="240" w:lineRule="auto"/>
              <w:jc w:val="center"/>
              <w:rPr>
                <w:rFonts w:cstheme="minorHAnsi"/>
                <w:b/>
                <w:sz w:val="20"/>
                <w:szCs w:val="20"/>
              </w:rPr>
            </w:pPr>
            <w:r>
              <w:rPr>
                <w:rFonts w:cstheme="minorHAnsi"/>
                <w:b/>
                <w:sz w:val="20"/>
                <w:szCs w:val="20"/>
              </w:rPr>
              <w:t>Parameter</w:t>
            </w:r>
          </w:p>
        </w:tc>
        <w:tc>
          <w:tcPr>
            <w:tcW w:w="2435" w:type="dxa"/>
            <w:shd w:val="clear" w:color="auto" w:fill="F2F2F2" w:themeFill="background1" w:themeFillShade="F2"/>
          </w:tcPr>
          <w:p w14:paraId="72BC489C" w14:textId="77777777" w:rsidR="00932A15" w:rsidRDefault="00932A15" w:rsidP="006745E0">
            <w:pPr>
              <w:spacing w:before="0" w:after="0" w:line="240" w:lineRule="auto"/>
              <w:jc w:val="center"/>
              <w:rPr>
                <w:rFonts w:cstheme="minorHAnsi"/>
                <w:b/>
                <w:sz w:val="20"/>
                <w:szCs w:val="20"/>
              </w:rPr>
            </w:pPr>
            <w:r>
              <w:rPr>
                <w:rFonts w:cstheme="minorHAnsi"/>
                <w:b/>
                <w:sz w:val="20"/>
                <w:szCs w:val="20"/>
              </w:rPr>
              <w:t>Value</w:t>
            </w:r>
          </w:p>
        </w:tc>
        <w:tc>
          <w:tcPr>
            <w:tcW w:w="3590" w:type="dxa"/>
            <w:shd w:val="clear" w:color="auto" w:fill="F2F2F2" w:themeFill="background1" w:themeFillShade="F2"/>
          </w:tcPr>
          <w:p w14:paraId="3C3A7325" w14:textId="77777777" w:rsidR="00932A15" w:rsidRPr="00694410" w:rsidRDefault="00932A15" w:rsidP="006745E0">
            <w:pPr>
              <w:spacing w:before="0" w:after="0" w:line="240" w:lineRule="auto"/>
              <w:jc w:val="center"/>
              <w:rPr>
                <w:rFonts w:cstheme="minorHAnsi"/>
                <w:b/>
                <w:sz w:val="20"/>
                <w:szCs w:val="20"/>
              </w:rPr>
            </w:pPr>
            <w:r>
              <w:rPr>
                <w:rFonts w:cstheme="minorHAnsi"/>
                <w:b/>
                <w:sz w:val="20"/>
                <w:szCs w:val="20"/>
              </w:rPr>
              <w:t>Source</w:t>
            </w:r>
          </w:p>
        </w:tc>
      </w:tr>
      <w:tr w:rsidR="00932A15" w:rsidRPr="001776B9" w14:paraId="071A38E2" w14:textId="77777777" w:rsidTr="006745E0">
        <w:trPr>
          <w:cantSplit/>
          <w:trHeight w:val="20"/>
        </w:trPr>
        <w:tc>
          <w:tcPr>
            <w:tcW w:w="3325" w:type="dxa"/>
            <w:vAlign w:val="center"/>
          </w:tcPr>
          <w:p w14:paraId="6A365053" w14:textId="135496B1" w:rsidR="00932A15" w:rsidRPr="00694410" w:rsidRDefault="00E85DFC" w:rsidP="006745E0">
            <w:pPr>
              <w:spacing w:before="0" w:after="0" w:line="240" w:lineRule="auto"/>
              <w:rPr>
                <w:sz w:val="20"/>
                <w:szCs w:val="20"/>
              </w:rPr>
            </w:pPr>
            <w:r>
              <w:rPr>
                <w:sz w:val="20"/>
                <w:szCs w:val="20"/>
              </w:rPr>
              <w:t>Baseline</w:t>
            </w:r>
            <w:r w:rsidR="00932A15">
              <w:rPr>
                <w:sz w:val="20"/>
                <w:szCs w:val="20"/>
              </w:rPr>
              <w:t xml:space="preserve"> average lamp wattage (W)</w:t>
            </w:r>
          </w:p>
        </w:tc>
        <w:tc>
          <w:tcPr>
            <w:tcW w:w="2435" w:type="dxa"/>
            <w:vAlign w:val="center"/>
          </w:tcPr>
          <w:p w14:paraId="40B47710" w14:textId="77777777" w:rsidR="00932A15" w:rsidRPr="006745E0" w:rsidRDefault="00932A15" w:rsidP="006745E0">
            <w:pPr>
              <w:spacing w:before="0" w:after="0" w:line="240" w:lineRule="auto"/>
              <w:jc w:val="center"/>
              <w:rPr>
                <w:sz w:val="20"/>
                <w:szCs w:val="18"/>
              </w:rPr>
            </w:pPr>
            <w:r w:rsidRPr="006745E0">
              <w:rPr>
                <w:sz w:val="20"/>
                <w:szCs w:val="18"/>
              </w:rPr>
              <w:t xml:space="preserve">26.68 </w:t>
            </w:r>
          </w:p>
        </w:tc>
        <w:tc>
          <w:tcPr>
            <w:tcW w:w="3590" w:type="dxa"/>
            <w:vMerge w:val="restart"/>
            <w:vAlign w:val="center"/>
          </w:tcPr>
          <w:p w14:paraId="664884C4" w14:textId="55AED777" w:rsidR="00932A15" w:rsidRPr="00A6730D" w:rsidRDefault="00611A9B" w:rsidP="006745E0">
            <w:pPr>
              <w:pStyle w:val="FootnoteText"/>
              <w:spacing w:before="0" w:after="0" w:line="240" w:lineRule="auto"/>
              <w:rPr>
                <w:szCs w:val="18"/>
                <w:highlight w:val="yellow"/>
              </w:rPr>
            </w:pPr>
            <w:r w:rsidRPr="00611A9B">
              <w:t>Southern California Edison (SCE). 20</w:t>
            </w:r>
            <w:r w:rsidR="002C117F">
              <w:t>20</w:t>
            </w:r>
            <w:r w:rsidRPr="00611A9B">
              <w:t>. “</w:t>
            </w:r>
            <w:r w:rsidR="00287EBD">
              <w:t>SWLG009-02</w:t>
            </w:r>
            <w:r w:rsidRPr="00611A9B">
              <w:t xml:space="preserve"> TLED Delta Watts Calculation.xlsx.”</w:t>
            </w:r>
          </w:p>
        </w:tc>
      </w:tr>
      <w:tr w:rsidR="006578B1" w:rsidRPr="001776B9" w14:paraId="3AF76DFB" w14:textId="77777777" w:rsidTr="006745E0">
        <w:trPr>
          <w:cantSplit/>
          <w:trHeight w:val="20"/>
        </w:trPr>
        <w:tc>
          <w:tcPr>
            <w:tcW w:w="3325" w:type="dxa"/>
            <w:vAlign w:val="center"/>
          </w:tcPr>
          <w:p w14:paraId="1404FC3D" w14:textId="77777777" w:rsidR="006578B1" w:rsidRDefault="006578B1" w:rsidP="006578B1">
            <w:pPr>
              <w:spacing w:before="0" w:after="0" w:line="240" w:lineRule="auto"/>
              <w:rPr>
                <w:sz w:val="20"/>
                <w:szCs w:val="20"/>
              </w:rPr>
            </w:pPr>
            <w:r>
              <w:rPr>
                <w:sz w:val="20"/>
                <w:szCs w:val="20"/>
              </w:rPr>
              <w:t>Non-Res, Dwelling and Common Area: Measure case weighted average lamp wattage (W)</w:t>
            </w:r>
          </w:p>
        </w:tc>
        <w:tc>
          <w:tcPr>
            <w:tcW w:w="2435" w:type="dxa"/>
            <w:vAlign w:val="center"/>
          </w:tcPr>
          <w:p w14:paraId="1E4D643D" w14:textId="77777777" w:rsidR="006578B1" w:rsidRPr="006745E0" w:rsidRDefault="006578B1" w:rsidP="006578B1">
            <w:pPr>
              <w:spacing w:before="0" w:after="0" w:line="240" w:lineRule="auto"/>
              <w:jc w:val="center"/>
              <w:rPr>
                <w:sz w:val="20"/>
                <w:szCs w:val="18"/>
              </w:rPr>
            </w:pPr>
            <w:r w:rsidRPr="006745E0">
              <w:rPr>
                <w:sz w:val="20"/>
                <w:szCs w:val="18"/>
              </w:rPr>
              <w:t xml:space="preserve">14.58 </w:t>
            </w:r>
          </w:p>
        </w:tc>
        <w:tc>
          <w:tcPr>
            <w:tcW w:w="3590" w:type="dxa"/>
            <w:vMerge/>
            <w:vAlign w:val="center"/>
          </w:tcPr>
          <w:p w14:paraId="1A0B34DB" w14:textId="77777777" w:rsidR="006578B1" w:rsidRDefault="006578B1" w:rsidP="006578B1">
            <w:pPr>
              <w:pStyle w:val="FootnoteText"/>
              <w:spacing w:before="0" w:after="0" w:line="240" w:lineRule="auto"/>
              <w:rPr>
                <w:szCs w:val="18"/>
              </w:rPr>
            </w:pPr>
          </w:p>
        </w:tc>
      </w:tr>
      <w:tr w:rsidR="006578B1" w:rsidRPr="001776B9" w14:paraId="02AB3467" w14:textId="77777777" w:rsidTr="006745E0">
        <w:trPr>
          <w:cantSplit/>
          <w:trHeight w:val="20"/>
        </w:trPr>
        <w:tc>
          <w:tcPr>
            <w:tcW w:w="3325" w:type="dxa"/>
            <w:vAlign w:val="center"/>
          </w:tcPr>
          <w:p w14:paraId="41430768" w14:textId="77777777" w:rsidR="006578B1" w:rsidRDefault="006578B1" w:rsidP="006578B1">
            <w:pPr>
              <w:spacing w:before="0" w:after="0" w:line="240" w:lineRule="auto"/>
              <w:rPr>
                <w:sz w:val="20"/>
                <w:szCs w:val="20"/>
              </w:rPr>
            </w:pPr>
            <w:r>
              <w:rPr>
                <w:sz w:val="20"/>
                <w:szCs w:val="20"/>
              </w:rPr>
              <w:t>Parking Garage: Measure case weighted average lamp wattage (W)</w:t>
            </w:r>
          </w:p>
        </w:tc>
        <w:tc>
          <w:tcPr>
            <w:tcW w:w="2435" w:type="dxa"/>
            <w:vAlign w:val="center"/>
          </w:tcPr>
          <w:p w14:paraId="437FF6B9" w14:textId="1C727B62" w:rsidR="006578B1" w:rsidRPr="006745E0" w:rsidRDefault="006578B1" w:rsidP="006578B1">
            <w:pPr>
              <w:spacing w:before="0" w:after="0" w:line="240" w:lineRule="auto"/>
              <w:jc w:val="center"/>
              <w:rPr>
                <w:sz w:val="20"/>
                <w:szCs w:val="18"/>
              </w:rPr>
            </w:pPr>
            <w:r>
              <w:rPr>
                <w:sz w:val="20"/>
                <w:szCs w:val="18"/>
              </w:rPr>
              <w:t>14.40</w:t>
            </w:r>
          </w:p>
        </w:tc>
        <w:tc>
          <w:tcPr>
            <w:tcW w:w="3590" w:type="dxa"/>
            <w:vMerge/>
            <w:vAlign w:val="center"/>
          </w:tcPr>
          <w:p w14:paraId="1F28FE29" w14:textId="77777777" w:rsidR="006578B1" w:rsidRDefault="006578B1" w:rsidP="006578B1">
            <w:pPr>
              <w:pStyle w:val="FootnoteText"/>
              <w:spacing w:before="0" w:after="0" w:line="240" w:lineRule="auto"/>
              <w:rPr>
                <w:szCs w:val="18"/>
              </w:rPr>
            </w:pPr>
          </w:p>
        </w:tc>
      </w:tr>
      <w:tr w:rsidR="006578B1" w:rsidRPr="003F4B66" w14:paraId="2ACA221D" w14:textId="77777777" w:rsidTr="006745E0">
        <w:trPr>
          <w:cantSplit/>
          <w:trHeight w:val="20"/>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D060E29" w14:textId="77777777" w:rsidR="006578B1" w:rsidRPr="003F4B66" w:rsidRDefault="006578B1" w:rsidP="006578B1">
            <w:pPr>
              <w:spacing w:before="0" w:after="0" w:line="240" w:lineRule="auto"/>
              <w:rPr>
                <w:sz w:val="20"/>
                <w:szCs w:val="20"/>
              </w:rPr>
            </w:pPr>
            <w:bookmarkStart w:id="65" w:name="_Hlk502133411"/>
            <w:r w:rsidRPr="003F4B66">
              <w:rPr>
                <w:sz w:val="20"/>
                <w:szCs w:val="20"/>
              </w:rPr>
              <w:t>Annual hours of operation – commercial</w:t>
            </w:r>
            <w:r>
              <w:rPr>
                <w:sz w:val="20"/>
                <w:szCs w:val="20"/>
              </w:rPr>
              <w:t xml:space="preserve"> </w:t>
            </w:r>
          </w:p>
        </w:tc>
        <w:tc>
          <w:tcPr>
            <w:tcW w:w="2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C5A2452" w14:textId="77777777" w:rsidR="006578B1" w:rsidRPr="006745E0" w:rsidRDefault="006578B1" w:rsidP="006578B1">
            <w:pPr>
              <w:spacing w:before="0" w:after="0" w:line="240" w:lineRule="auto"/>
              <w:rPr>
                <w:sz w:val="20"/>
                <w:szCs w:val="18"/>
              </w:rPr>
            </w:pPr>
            <w:r w:rsidRPr="006745E0">
              <w:rPr>
                <w:sz w:val="20"/>
                <w:szCs w:val="18"/>
              </w:rPr>
              <w:t>Varies by building type, lighting type and vintage</w:t>
            </w:r>
          </w:p>
        </w:tc>
        <w:tc>
          <w:tcPr>
            <w:tcW w:w="3590" w:type="dxa"/>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59303E12" w14:textId="2F8CC0C8" w:rsidR="006578B1" w:rsidRPr="00226724" w:rsidRDefault="006578B1" w:rsidP="006578B1">
            <w:pPr>
              <w:pStyle w:val="FootnoteText"/>
              <w:spacing w:before="0" w:after="0" w:line="240" w:lineRule="auto"/>
              <w:rPr>
                <w:szCs w:val="18"/>
              </w:rPr>
            </w:pPr>
            <w:r w:rsidRPr="00E366CD">
              <w:t>California Public Utilities Commission (CPUC). 20</w:t>
            </w:r>
            <w:r w:rsidR="002C117F">
              <w:t>20</w:t>
            </w:r>
            <w:r w:rsidRPr="00E366CD">
              <w:t>. "SupportTable_2020-Com-InLtg.</w:t>
            </w:r>
            <w:r>
              <w:t>csv</w:t>
            </w:r>
            <w:r w:rsidRPr="00E366CD">
              <w:t>."</w:t>
            </w:r>
          </w:p>
        </w:tc>
      </w:tr>
      <w:tr w:rsidR="006578B1" w:rsidRPr="003F4B66" w14:paraId="61430260" w14:textId="77777777" w:rsidTr="006745E0">
        <w:trPr>
          <w:cantSplit/>
          <w:trHeight w:val="20"/>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8B89C1" w14:textId="77777777" w:rsidR="006578B1" w:rsidRPr="003F4B66" w:rsidRDefault="006578B1" w:rsidP="006578B1">
            <w:pPr>
              <w:spacing w:before="0" w:after="0" w:line="240" w:lineRule="auto"/>
              <w:rPr>
                <w:sz w:val="20"/>
                <w:szCs w:val="20"/>
              </w:rPr>
            </w:pPr>
            <w:r>
              <w:rPr>
                <w:sz w:val="20"/>
                <w:szCs w:val="20"/>
              </w:rPr>
              <w:t>Gas interactive effects multiplier- commercial</w:t>
            </w:r>
          </w:p>
        </w:tc>
        <w:tc>
          <w:tcPr>
            <w:tcW w:w="2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F307513" w14:textId="77777777" w:rsidR="006578B1" w:rsidRPr="006745E0" w:rsidRDefault="006578B1" w:rsidP="006578B1">
            <w:pPr>
              <w:spacing w:before="0" w:after="0" w:line="240" w:lineRule="auto"/>
              <w:rPr>
                <w:sz w:val="20"/>
                <w:szCs w:val="18"/>
              </w:rPr>
            </w:pPr>
            <w:r w:rsidRPr="006745E0">
              <w:rPr>
                <w:sz w:val="20"/>
                <w:szCs w:val="18"/>
              </w:rPr>
              <w:t>Varies by climate zone, building type, vintage, lighting type, and vintage</w:t>
            </w:r>
          </w:p>
        </w:tc>
        <w:tc>
          <w:tcPr>
            <w:tcW w:w="3590" w:type="dxa"/>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71082A13" w14:textId="45CC763F" w:rsidR="006578B1" w:rsidRPr="00226724" w:rsidRDefault="006578B1" w:rsidP="006578B1">
            <w:pPr>
              <w:pStyle w:val="FootnoteText"/>
              <w:spacing w:before="0" w:after="0" w:line="240" w:lineRule="auto"/>
              <w:rPr>
                <w:szCs w:val="18"/>
              </w:rPr>
            </w:pPr>
            <w:r w:rsidRPr="00E366CD">
              <w:t>California Public Utilities Commission (CPUC). 20</w:t>
            </w:r>
            <w:r w:rsidR="002C117F">
              <w:t>20</w:t>
            </w:r>
            <w:r w:rsidRPr="00E366CD">
              <w:t>. "SupportTable_2020-Com-InLtg.</w:t>
            </w:r>
            <w:r>
              <w:t>csv</w:t>
            </w:r>
            <w:r w:rsidRPr="00E366CD">
              <w:t>."</w:t>
            </w:r>
          </w:p>
        </w:tc>
      </w:tr>
      <w:tr w:rsidR="002C117F" w:rsidRPr="003F4B66" w14:paraId="78DBFD2C" w14:textId="77777777" w:rsidTr="006745E0">
        <w:trPr>
          <w:cantSplit/>
          <w:trHeight w:val="20"/>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2BF173B" w14:textId="77777777" w:rsidR="002C117F" w:rsidRPr="003F4B66" w:rsidRDefault="002C117F" w:rsidP="002C117F">
            <w:pPr>
              <w:spacing w:before="0" w:after="0" w:line="240" w:lineRule="auto"/>
              <w:rPr>
                <w:sz w:val="20"/>
                <w:szCs w:val="20"/>
              </w:rPr>
            </w:pPr>
            <w:r w:rsidRPr="003F4B66">
              <w:rPr>
                <w:sz w:val="20"/>
                <w:szCs w:val="20"/>
              </w:rPr>
              <w:t>Annual hours of operation – residential</w:t>
            </w:r>
          </w:p>
        </w:tc>
        <w:tc>
          <w:tcPr>
            <w:tcW w:w="2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7EB2406" w14:textId="77777777" w:rsidR="002C117F" w:rsidRPr="006745E0" w:rsidRDefault="002C117F" w:rsidP="002C117F">
            <w:pPr>
              <w:spacing w:before="0" w:after="0" w:line="240" w:lineRule="auto"/>
              <w:rPr>
                <w:sz w:val="20"/>
                <w:szCs w:val="18"/>
              </w:rPr>
            </w:pPr>
            <w:r w:rsidRPr="006745E0">
              <w:rPr>
                <w:sz w:val="20"/>
                <w:szCs w:val="18"/>
              </w:rPr>
              <w:t>Varies by dwelling or common area space for multi-family/double-wide mobile homes</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D1E21A" w14:textId="5CEA33A3" w:rsidR="002C117F" w:rsidRPr="00C91559" w:rsidRDefault="002C117F" w:rsidP="002C117F">
            <w:pPr>
              <w:pStyle w:val="FootnoteText"/>
              <w:spacing w:before="0" w:after="0" w:line="240" w:lineRule="auto"/>
              <w:rPr>
                <w:color w:val="000000"/>
                <w:szCs w:val="18"/>
              </w:rPr>
            </w:pPr>
            <w:r w:rsidRPr="009232E1">
              <w:t>California Public Utilities Commission (CPUC). 20</w:t>
            </w:r>
            <w:r>
              <w:t>20</w:t>
            </w:r>
            <w:r w:rsidRPr="009232E1">
              <w:t>. "SupportTable_2020-Res-InLtg.</w:t>
            </w:r>
            <w:r>
              <w:t>csv</w:t>
            </w:r>
            <w:r w:rsidRPr="009232E1">
              <w:t>."</w:t>
            </w:r>
          </w:p>
        </w:tc>
      </w:tr>
      <w:tr w:rsidR="002C117F" w:rsidRPr="003F4B66" w14:paraId="41AF1657" w14:textId="77777777" w:rsidTr="006745E0">
        <w:trPr>
          <w:cantSplit/>
          <w:trHeight w:val="20"/>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8C7965" w14:textId="77777777" w:rsidR="002C117F" w:rsidRPr="003F4B66" w:rsidRDefault="002C117F" w:rsidP="002C117F">
            <w:pPr>
              <w:spacing w:before="0" w:after="0" w:line="240" w:lineRule="auto"/>
              <w:rPr>
                <w:sz w:val="20"/>
                <w:szCs w:val="20"/>
              </w:rPr>
            </w:pPr>
            <w:r>
              <w:rPr>
                <w:sz w:val="20"/>
                <w:szCs w:val="20"/>
              </w:rPr>
              <w:t>Gas interactive effects multiplier - residential</w:t>
            </w:r>
          </w:p>
        </w:tc>
        <w:tc>
          <w:tcPr>
            <w:tcW w:w="2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19EDA2" w14:textId="77777777" w:rsidR="002C117F" w:rsidRPr="006745E0" w:rsidRDefault="002C117F" w:rsidP="002C117F">
            <w:pPr>
              <w:spacing w:before="0" w:after="0" w:line="240" w:lineRule="auto"/>
              <w:rPr>
                <w:sz w:val="20"/>
                <w:szCs w:val="18"/>
              </w:rPr>
            </w:pPr>
            <w:r w:rsidRPr="006745E0">
              <w:rPr>
                <w:sz w:val="20"/>
                <w:szCs w:val="18"/>
              </w:rPr>
              <w:t>Varies by climate zone, sector, and vintage</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BE46CD" w14:textId="4157BAD0" w:rsidR="002C117F" w:rsidRPr="00226724" w:rsidRDefault="002C117F" w:rsidP="002C117F">
            <w:pPr>
              <w:pStyle w:val="FootnoteText"/>
              <w:spacing w:before="0" w:after="0" w:line="240" w:lineRule="auto"/>
              <w:rPr>
                <w:szCs w:val="18"/>
              </w:rPr>
            </w:pPr>
            <w:r w:rsidRPr="009232E1">
              <w:t>California Public Utilities Commission (CPUC). 20</w:t>
            </w:r>
            <w:r>
              <w:t>20</w:t>
            </w:r>
            <w:r w:rsidRPr="009232E1">
              <w:t>. "SupportTable_2020-Res-InLtg.</w:t>
            </w:r>
            <w:r>
              <w:t>csv</w:t>
            </w:r>
            <w:r w:rsidRPr="009232E1">
              <w:t>."</w:t>
            </w:r>
          </w:p>
        </w:tc>
      </w:tr>
      <w:bookmarkEnd w:id="65"/>
      <w:tr w:rsidR="006578B1" w:rsidRPr="003F4B66" w14:paraId="7B5766B2" w14:textId="77777777" w:rsidTr="006745E0">
        <w:trPr>
          <w:cantSplit/>
          <w:trHeight w:val="20"/>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4F8E8C9" w14:textId="77777777" w:rsidR="006578B1" w:rsidRPr="003F4B66" w:rsidRDefault="006578B1" w:rsidP="006578B1">
            <w:pPr>
              <w:spacing w:before="0" w:after="0" w:line="240" w:lineRule="auto"/>
              <w:rPr>
                <w:sz w:val="20"/>
                <w:szCs w:val="20"/>
              </w:rPr>
            </w:pPr>
            <w:r w:rsidRPr="003F4B66">
              <w:rPr>
                <w:sz w:val="20"/>
                <w:szCs w:val="20"/>
              </w:rPr>
              <w:t xml:space="preserve">Annual hours of operation – </w:t>
            </w:r>
            <w:r>
              <w:rPr>
                <w:sz w:val="20"/>
                <w:szCs w:val="20"/>
              </w:rPr>
              <w:t>parking garages</w:t>
            </w:r>
          </w:p>
        </w:tc>
        <w:tc>
          <w:tcPr>
            <w:tcW w:w="2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07576A" w14:textId="77777777" w:rsidR="006578B1" w:rsidRPr="006745E0" w:rsidRDefault="006578B1" w:rsidP="006578B1">
            <w:pPr>
              <w:spacing w:before="0" w:after="0" w:line="240" w:lineRule="auto"/>
              <w:jc w:val="center"/>
              <w:rPr>
                <w:sz w:val="20"/>
                <w:szCs w:val="18"/>
              </w:rPr>
            </w:pPr>
            <w:r w:rsidRPr="006745E0">
              <w:rPr>
                <w:sz w:val="20"/>
                <w:szCs w:val="18"/>
              </w:rPr>
              <w:t>2,613.75</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0B142AB" w14:textId="1070E253" w:rsidR="006578B1" w:rsidRPr="00956E72" w:rsidRDefault="006578B1" w:rsidP="006578B1">
            <w:pPr>
              <w:pStyle w:val="FootnoteText"/>
              <w:spacing w:before="0" w:after="0" w:line="240" w:lineRule="auto"/>
            </w:pPr>
            <w:r w:rsidRPr="00A3514A">
              <w:t>California Public Utilities Commission (CPUC), Energy Division. 2016. “Disposition for Workpaper SCE13LG123 revision 0.” September 30.</w:t>
            </w:r>
          </w:p>
        </w:tc>
      </w:tr>
      <w:tr w:rsidR="006578B1" w:rsidRPr="003F4B66" w14:paraId="02470583" w14:textId="77777777" w:rsidTr="006745E0">
        <w:trPr>
          <w:cantSplit/>
          <w:trHeight w:val="20"/>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0BACEE" w14:textId="77777777" w:rsidR="006578B1" w:rsidRPr="003F4B66" w:rsidRDefault="006578B1" w:rsidP="006578B1">
            <w:pPr>
              <w:spacing w:before="0" w:after="0" w:line="240" w:lineRule="auto"/>
              <w:rPr>
                <w:sz w:val="20"/>
                <w:szCs w:val="20"/>
              </w:rPr>
            </w:pPr>
            <w:r>
              <w:rPr>
                <w:sz w:val="20"/>
                <w:szCs w:val="20"/>
              </w:rPr>
              <w:t>Gas interactive effects multiplier – parking garages</w:t>
            </w:r>
          </w:p>
        </w:tc>
        <w:tc>
          <w:tcPr>
            <w:tcW w:w="24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F60073" w14:textId="77777777" w:rsidR="006578B1" w:rsidRPr="006745E0" w:rsidRDefault="006578B1" w:rsidP="006578B1">
            <w:pPr>
              <w:spacing w:before="0" w:after="0" w:line="240" w:lineRule="auto"/>
              <w:jc w:val="center"/>
              <w:rPr>
                <w:sz w:val="20"/>
                <w:szCs w:val="18"/>
              </w:rPr>
            </w:pPr>
            <w:r w:rsidRPr="006745E0">
              <w:rPr>
                <w:sz w:val="20"/>
                <w:szCs w:val="18"/>
              </w:rPr>
              <w:t>0.0</w:t>
            </w:r>
          </w:p>
        </w:tc>
        <w:tc>
          <w:tcPr>
            <w:tcW w:w="3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533761C" w14:textId="7C343B1D" w:rsidR="006578B1" w:rsidRPr="00956E72" w:rsidRDefault="006578B1" w:rsidP="006578B1">
            <w:pPr>
              <w:pStyle w:val="FootnoteText"/>
              <w:spacing w:before="0" w:after="0" w:line="240" w:lineRule="auto"/>
            </w:pPr>
            <w:r>
              <w:t xml:space="preserve">California Public Utilities Commission (CPUC), Energy Division. 2017. “Disposition </w:t>
            </w:r>
            <w:proofErr w:type="gramStart"/>
            <w:r>
              <w:t>For</w:t>
            </w:r>
            <w:proofErr w:type="gramEnd"/>
            <w:r>
              <w:t xml:space="preserve"> Workpapers Covering Exterior LED Lighting Fixtures.” March 1.</w:t>
            </w:r>
          </w:p>
        </w:tc>
      </w:tr>
    </w:tbl>
    <w:p w14:paraId="79AB374C" w14:textId="77777777" w:rsidR="00932A15" w:rsidRDefault="00932A15" w:rsidP="00932A15"/>
    <w:p w14:paraId="1D9FE95A" w14:textId="56FE9E7D" w:rsidR="00AC4997" w:rsidRDefault="00AC4997" w:rsidP="00AC4997">
      <w:pPr>
        <w:rPr>
          <w:rFonts w:asciiTheme="minorHAnsi" w:eastAsia="Times New Roman" w:hAnsiTheme="minorHAnsi" w:cs="Times New Roman"/>
        </w:rPr>
      </w:pPr>
      <w:r>
        <w:rPr>
          <w:b/>
          <w:bCs/>
        </w:rPr>
        <w:t>Parking garage annual hours of operation:</w:t>
      </w:r>
      <w:r>
        <w:t xml:space="preserve"> Parking garage hours of operation represent the equivalent full-load hours (EFLH) and was calculated as the average of the allowed low power usage at 35% power</w:t>
      </w:r>
      <w:r>
        <w:rPr>
          <w:rStyle w:val="FootnoteReference"/>
        </w:rPr>
        <w:footnoteReference w:id="23"/>
      </w:r>
      <w:r>
        <w:t xml:space="preserve"> and lower-power usage at 20% power.</w:t>
      </w:r>
      <w:r>
        <w:rPr>
          <w:rStyle w:val="FootnoteReference"/>
        </w:rPr>
        <w:footnoteReference w:id="24"/>
      </w:r>
      <w:r>
        <w:t xml:space="preserve"> The calculated mid-point or average of 20% and 35% is 27.5%, which is within the range allowed for the dimmed-power state by Title24. Calculations for a lamp </w:t>
      </w:r>
      <w:r>
        <w:lastRenderedPageBreak/>
        <w:t>replacement in a parking garage conforms to the Disposition for Workpapers Covering Exterior LED Lighting Fixtures, issued March 1, 2017.</w:t>
      </w:r>
      <w:r>
        <w:rPr>
          <w:rStyle w:val="FootnoteReference"/>
        </w:rPr>
        <w:footnoteReference w:id="25"/>
      </w:r>
      <w:r>
        <w:t xml:space="preserve"> </w:t>
      </w:r>
      <w:r w:rsidR="00C82F03">
        <w:t>(</w:t>
      </w:r>
      <w:r w:rsidR="00C82F03" w:rsidRPr="00956E72">
        <w:t xml:space="preserve">The </w:t>
      </w:r>
      <w:r w:rsidR="00C82F03">
        <w:t xml:space="preserve">same </w:t>
      </w:r>
      <w:r w:rsidR="00C82F03" w:rsidRPr="00956E72">
        <w:t>hours of use were</w:t>
      </w:r>
      <w:r w:rsidR="00C82F03">
        <w:t xml:space="preserve"> also calculated for </w:t>
      </w:r>
      <w:r w:rsidR="00C82F03" w:rsidRPr="00956E72">
        <w:t xml:space="preserve">the “PGECOLTG151 R8 Outdoor </w:t>
      </w:r>
      <w:proofErr w:type="spellStart"/>
      <w:r w:rsidR="00C82F03" w:rsidRPr="00956E72">
        <w:t>InterimSolution</w:t>
      </w:r>
      <w:proofErr w:type="spellEnd"/>
      <w:r w:rsidR="00C82F03" w:rsidRPr="00956E72">
        <w:t>” workpaper</w:t>
      </w:r>
      <w:r w:rsidR="00C82F03">
        <w:t>,</w:t>
      </w:r>
      <w:r w:rsidR="00C82F03" w:rsidRPr="00956E72">
        <w:rPr>
          <w:rStyle w:val="FootnoteReference"/>
        </w:rPr>
        <w:footnoteReference w:id="26"/>
      </w:r>
      <w:r w:rsidR="00C82F03">
        <w:t xml:space="preserve"> which was subsequently approved by the CPUC Energy Division.)</w:t>
      </w:r>
    </w:p>
    <w:p w14:paraId="42752783" w14:textId="4282A7E1" w:rsidR="005B00BA" w:rsidRDefault="005B00BA" w:rsidP="005B00BA">
      <w:r>
        <w:t>The resultant LED T8 lamp gas e</w:t>
      </w:r>
      <w:r w:rsidRPr="00E64ED0">
        <w:t>nergy savings var</w:t>
      </w:r>
      <w:r>
        <w:t>ies</w:t>
      </w:r>
      <w:r w:rsidRPr="00E64ED0">
        <w:t xml:space="preserve"> by market sector and building type</w:t>
      </w:r>
      <w:r>
        <w:t xml:space="preserve">, due to </w:t>
      </w:r>
      <w:r w:rsidRPr="00E64ED0">
        <w:t>differences in operating hours and interactive effect</w:t>
      </w:r>
      <w:r>
        <w:t>s</w:t>
      </w:r>
      <w:r w:rsidRPr="00E64ED0">
        <w:t>.</w:t>
      </w:r>
      <w:r>
        <w:t xml:space="preserve"> Note that the gas interactive effective multipliers are negative and reflect the slight increase in gas space heat usage as a result of the installation of this measure.</w:t>
      </w:r>
    </w:p>
    <w:p w14:paraId="7BDD7CCD" w14:textId="77777777" w:rsidR="000B6D02" w:rsidRDefault="000B6D02" w:rsidP="005B00BA"/>
    <w:p w14:paraId="7257674C" w14:textId="70FBF5D5" w:rsidR="00932A15" w:rsidRPr="00611A9B" w:rsidRDefault="00611A9B" w:rsidP="00932A15">
      <w:pPr>
        <w:pStyle w:val="Reminders"/>
        <w:ind w:left="720" w:right="1440"/>
        <w:rPr>
          <w:rFonts w:ascii="Calibri Light" w:hAnsi="Calibri Light" w:cstheme="minorHAnsi"/>
          <w:i w:val="0"/>
          <w:color w:val="auto"/>
          <w:sz w:val="20"/>
          <w:szCs w:val="22"/>
        </w:rPr>
      </w:pPr>
      <w:r w:rsidRPr="00611A9B">
        <w:rPr>
          <w:rFonts w:ascii="Calibri Light" w:hAnsi="Calibri Light" w:cstheme="minorHAnsi"/>
          <w:b/>
          <w:i w:val="0"/>
          <w:color w:val="auto"/>
          <w:sz w:val="20"/>
          <w:szCs w:val="22"/>
        </w:rPr>
        <w:t>Sample Calculation.</w:t>
      </w:r>
      <w:r w:rsidRPr="00611A9B">
        <w:rPr>
          <w:rFonts w:ascii="Calibri Light" w:hAnsi="Calibri Light" w:cstheme="minorHAnsi"/>
          <w:i w:val="0"/>
          <w:color w:val="auto"/>
          <w:sz w:val="20"/>
          <w:szCs w:val="22"/>
        </w:rPr>
        <w:t xml:space="preserve"> </w:t>
      </w:r>
      <w:r w:rsidR="00932A15" w:rsidRPr="00611A9B">
        <w:rPr>
          <w:rFonts w:ascii="Calibri Light" w:hAnsi="Calibri Light" w:cstheme="minorHAnsi"/>
          <w:i w:val="0"/>
          <w:color w:val="auto"/>
          <w:sz w:val="20"/>
          <w:szCs w:val="22"/>
        </w:rPr>
        <w:t xml:space="preserve">The following is sample gas energy savings calculation (therms) for a 4-foot LED T8 Lamp UL Type A replacing Linear Fluorescent T8 Lamp in an Assembly building type, Climate Zone 6, and accelerated replacement installation type. </w:t>
      </w:r>
    </w:p>
    <w:p w14:paraId="34208474" w14:textId="07141F13" w:rsidR="00932A15" w:rsidRPr="00611A9B" w:rsidRDefault="00932A15" w:rsidP="00932A15">
      <w:pPr>
        <w:ind w:left="720" w:right="1440"/>
        <w:rPr>
          <w:rFonts w:ascii="Cambria Math" w:hAnsi="Cambria Math"/>
          <w:sz w:val="16"/>
          <w:szCs w:val="18"/>
        </w:rPr>
      </w:pPr>
      <m:oMathPara>
        <m:oMathParaPr>
          <m:jc m:val="left"/>
        </m:oMathParaPr>
        <m:oMath>
          <m:r>
            <w:rPr>
              <w:rFonts w:ascii="Cambria Math" w:hAnsi="Cambria Math"/>
              <w:sz w:val="16"/>
              <w:szCs w:val="18"/>
            </w:rPr>
            <m:t>Annual Gas Savings=</m:t>
          </m:r>
          <m:f>
            <m:fPr>
              <m:ctrlPr>
                <w:rPr>
                  <w:rFonts w:ascii="Cambria Math" w:hAnsi="Cambria Math"/>
                  <w:i/>
                  <w:sz w:val="16"/>
                  <w:szCs w:val="18"/>
                </w:rPr>
              </m:ctrlPr>
            </m:fPr>
            <m:num>
              <m:d>
                <m:dPr>
                  <m:ctrlPr>
                    <w:rPr>
                      <w:rFonts w:ascii="Cambria Math" w:hAnsi="Cambria Math" w:cstheme="minorHAnsi"/>
                      <w:i/>
                      <w:sz w:val="16"/>
                      <w:szCs w:val="18"/>
                    </w:rPr>
                  </m:ctrlPr>
                </m:dPr>
                <m:e>
                  <m:r>
                    <w:rPr>
                      <w:rFonts w:ascii="Cambria Math" w:hAnsi="Cambria Math" w:cstheme="minorHAnsi"/>
                      <w:sz w:val="16"/>
                      <w:szCs w:val="18"/>
                    </w:rPr>
                    <m:t>26.68-14.58</m:t>
                  </m:r>
                </m:e>
              </m:d>
            </m:num>
            <m:den>
              <m:r>
                <w:rPr>
                  <w:rFonts w:ascii="Cambria Math" w:hAnsi="Cambria Math"/>
                  <w:sz w:val="16"/>
                  <w:szCs w:val="18"/>
                </w:rPr>
                <m:t>1000</m:t>
              </m:r>
            </m:den>
          </m:f>
          <m:r>
            <w:rPr>
              <w:rFonts w:ascii="Cambria Math" w:hAnsi="Cambria Math"/>
              <w:sz w:val="16"/>
              <w:szCs w:val="18"/>
            </w:rPr>
            <m:t>×</m:t>
          </m:r>
          <m:d>
            <m:dPr>
              <m:ctrlPr>
                <w:rPr>
                  <w:rFonts w:ascii="Cambria Math" w:hAnsi="Cambria Math"/>
                  <w:i/>
                  <w:sz w:val="16"/>
                  <w:szCs w:val="18"/>
                </w:rPr>
              </m:ctrlPr>
            </m:dPr>
            <m:e>
              <m:r>
                <w:rPr>
                  <w:rFonts w:ascii="Cambria Math" w:hAnsi="Cambria Math"/>
                  <w:sz w:val="16"/>
                  <w:szCs w:val="18"/>
                </w:rPr>
                <m:t>1100</m:t>
              </m:r>
            </m:e>
          </m:d>
          <m:r>
            <w:rPr>
              <w:rFonts w:ascii="Cambria Math" w:hAnsi="Cambria Math"/>
              <w:sz w:val="16"/>
              <w:szCs w:val="18"/>
            </w:rPr>
            <m:t>×</m:t>
          </m:r>
          <m:d>
            <m:dPr>
              <m:ctrlPr>
                <w:rPr>
                  <w:rFonts w:ascii="Cambria Math" w:hAnsi="Cambria Math"/>
                  <w:i/>
                  <w:sz w:val="16"/>
                  <w:szCs w:val="18"/>
                </w:rPr>
              </m:ctrlPr>
            </m:dPr>
            <m:e>
              <m:r>
                <w:rPr>
                  <w:rFonts w:ascii="Cambria Math" w:hAnsi="Cambria Math"/>
                  <w:sz w:val="16"/>
                  <w:szCs w:val="18"/>
                </w:rPr>
                <m:t>-0.00686</m:t>
              </m:r>
            </m:e>
          </m:d>
          <m:r>
            <w:rPr>
              <w:rFonts w:ascii="Cambria Math" w:hAnsi="Cambria Math"/>
              <w:sz w:val="16"/>
              <w:szCs w:val="18"/>
            </w:rPr>
            <m:t>= -0.0913 therms/year</m:t>
          </m:r>
        </m:oMath>
      </m:oMathPara>
    </w:p>
    <w:p w14:paraId="35902947" w14:textId="49FCB206" w:rsidR="00157985" w:rsidRDefault="00157985" w:rsidP="005B00BA">
      <w:pPr>
        <w:rPr>
          <w:sz w:val="18"/>
        </w:rPr>
      </w:pPr>
    </w:p>
    <w:p w14:paraId="7E46599B" w14:textId="77777777" w:rsidR="006578B1" w:rsidRDefault="006578B1" w:rsidP="005B00BA">
      <w:pPr>
        <w:rPr>
          <w:sz w:val="18"/>
        </w:rPr>
      </w:pPr>
    </w:p>
    <w:p w14:paraId="768C6BC5" w14:textId="77777777" w:rsidR="007D230B" w:rsidRPr="004B06E3" w:rsidRDefault="00245AFF" w:rsidP="00462BB6">
      <w:pPr>
        <w:pStyle w:val="eTRMHeading3"/>
      </w:pPr>
      <w:bookmarkStart w:id="66" w:name="_Toc40948498"/>
      <w:bookmarkStart w:id="67" w:name="_Toc486490859"/>
      <w:bookmarkStart w:id="68" w:name="_Toc486580930"/>
      <w:bookmarkStart w:id="69" w:name="_Hlk519147745"/>
      <w:r w:rsidRPr="004B06E3">
        <w:t>Life Cycle</w:t>
      </w:r>
      <w:bookmarkEnd w:id="66"/>
      <w:r w:rsidR="007D230B" w:rsidRPr="004B06E3">
        <w:t xml:space="preserve"> </w:t>
      </w:r>
      <w:bookmarkEnd w:id="67"/>
      <w:bookmarkEnd w:id="68"/>
    </w:p>
    <w:p w14:paraId="6821A7D1" w14:textId="0DEB39BC" w:rsidR="007E5052" w:rsidRDefault="00D234FB" w:rsidP="00F704F9">
      <w:r w:rsidRPr="00AE61E4">
        <w:rPr>
          <w:rFonts w:cs="Calibri Light"/>
        </w:rPr>
        <w:t xml:space="preserve">This measure replaces the linear fluorescent lamp with an LED lamp while using the existing linear fluorescent ballast. </w:t>
      </w:r>
      <w:r w:rsidR="007F669E" w:rsidRPr="00B47104">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5DFA99CF" w14:textId="0744E5C1" w:rsidR="00C15ABA" w:rsidRPr="00C15ABA" w:rsidRDefault="00364289" w:rsidP="00F704F9">
      <w:pPr>
        <w:rPr>
          <w:rFonts w:eastAsia="Times New Roman" w:cs="Calibri Light"/>
          <w:color w:val="000000"/>
        </w:rPr>
      </w:pPr>
      <w:r w:rsidRPr="00C15ABA">
        <w:t>A</w:t>
      </w:r>
      <w:r w:rsidR="00AA5496" w:rsidRPr="00C15ABA">
        <w:t xml:space="preserve">s per Resolution E-4807, the California Public Utilities Commission (CPUC) revised </w:t>
      </w:r>
      <w:r w:rsidR="00AB50F7">
        <w:t>add-on equipment</w:t>
      </w:r>
      <w:r w:rsidR="00AA5496" w:rsidRPr="00C15ABA">
        <w:t xml:space="preserve"> measures so that the EUL of the measure</w:t>
      </w:r>
      <w:r w:rsidR="00C15ABA" w:rsidRPr="00C15ABA">
        <w:t xml:space="preserve"> itself</w:t>
      </w:r>
      <w:r w:rsidR="00AA5496" w:rsidRPr="00C15ABA">
        <w:t xml:space="preserve"> is equal to the lower of the RUL of the modified system or equipment or the EUL of the add-on component.”</w:t>
      </w:r>
      <w:r w:rsidR="00AA5496" w:rsidRPr="00C15ABA">
        <w:rPr>
          <w:rStyle w:val="FootnoteReference"/>
        </w:rPr>
        <w:footnoteReference w:id="27"/>
      </w:r>
      <w:r w:rsidR="00964A35" w:rsidRPr="00C15ABA">
        <w:rPr>
          <w:rStyle w:val="eTRMFootnoteTextChar"/>
        </w:rPr>
        <w:t xml:space="preserve"> </w:t>
      </w:r>
      <w:r w:rsidR="00C15ABA" w:rsidRPr="00C15ABA">
        <w:rPr>
          <w:rStyle w:val="eTRMFootnoteTextChar"/>
          <w:sz w:val="22"/>
        </w:rPr>
        <w:t>Even though this measure is a</w:t>
      </w:r>
      <w:r w:rsidR="001B5156">
        <w:rPr>
          <w:rStyle w:val="eTRMFootnoteTextChar"/>
          <w:sz w:val="22"/>
        </w:rPr>
        <w:t>n</w:t>
      </w:r>
      <w:r w:rsidR="00C15ABA" w:rsidRPr="00C15ABA">
        <w:rPr>
          <w:rStyle w:val="eTRMFootnoteTextChar"/>
          <w:sz w:val="22"/>
        </w:rPr>
        <w:t xml:space="preserve"> </w:t>
      </w:r>
      <w:r w:rsidR="00AB50F7">
        <w:rPr>
          <w:rStyle w:val="eTRMFootnoteTextChar"/>
          <w:sz w:val="22"/>
        </w:rPr>
        <w:t>accelerated replacement</w:t>
      </w:r>
      <w:r w:rsidR="00C15ABA" w:rsidRPr="00C15ABA">
        <w:rPr>
          <w:rStyle w:val="eTRMFootnoteTextChar"/>
          <w:sz w:val="22"/>
        </w:rPr>
        <w:t xml:space="preserve"> measure, the performance of the lamp is dependent upon the “host” ballast and therefore the calculation of the EUL is based upon the EUL of the ballast. Specifically, t</w:t>
      </w:r>
      <w:r w:rsidRPr="00C15ABA">
        <w:rPr>
          <w:rFonts w:eastAsia="Times New Roman" w:cs="Calibri Light"/>
          <w:color w:val="000000"/>
        </w:rPr>
        <w:t xml:space="preserve">he EUL of the T8 LED is equal to the RUL of the host equipment – the ballast </w:t>
      </w:r>
      <w:r w:rsidR="00C15ABA" w:rsidRPr="00C15ABA">
        <w:rPr>
          <w:rFonts w:eastAsia="Times New Roman" w:cs="Calibri Light"/>
          <w:color w:val="000000"/>
        </w:rPr>
        <w:t>of the</w:t>
      </w:r>
      <w:r w:rsidRPr="00C15ABA">
        <w:rPr>
          <w:rFonts w:eastAsia="Times New Roman" w:cs="Calibri Light"/>
          <w:color w:val="000000"/>
        </w:rPr>
        <w:t xml:space="preserve"> fixture. </w:t>
      </w:r>
    </w:p>
    <w:p w14:paraId="2595BA26" w14:textId="13185EC6" w:rsidR="00997897" w:rsidRDefault="00364289" w:rsidP="00997897">
      <w:pPr>
        <w:rPr>
          <w:rFonts w:eastAsia="Times New Roman" w:cs="Calibri Light"/>
          <w:color w:val="000000"/>
        </w:rPr>
      </w:pPr>
      <w:r w:rsidRPr="00C15ABA">
        <w:rPr>
          <w:rFonts w:eastAsia="Times New Roman" w:cs="Calibri Light"/>
          <w:color w:val="000000"/>
        </w:rPr>
        <w:t>The RUL of the ballast is derived in two steps: 1) determine the EUL of the ballast, and 2) determine the RUL of the ballast.</w:t>
      </w:r>
      <w:r w:rsidR="00964A35" w:rsidRPr="00C15ABA">
        <w:rPr>
          <w:rStyle w:val="eTRMFootnoteTextChar"/>
        </w:rPr>
        <w:t xml:space="preserve"> </w:t>
      </w:r>
      <w:r w:rsidR="00846936" w:rsidRPr="00C15ABA">
        <w:rPr>
          <w:rFonts w:eastAsia="Times New Roman" w:cs="Calibri Light"/>
          <w:color w:val="000000"/>
        </w:rPr>
        <w:t>The EUL of the ballast</w:t>
      </w:r>
      <w:r w:rsidR="006248BF" w:rsidRPr="00C15ABA">
        <w:rPr>
          <w:rFonts w:eastAsia="Times New Roman" w:cs="Calibri Light"/>
          <w:color w:val="000000"/>
        </w:rPr>
        <w:t xml:space="preserve"> is </w:t>
      </w:r>
      <w:r w:rsidR="00846936" w:rsidRPr="00C15ABA">
        <w:rPr>
          <w:rFonts w:eastAsia="Times New Roman" w:cs="Calibri Light"/>
          <w:color w:val="000000"/>
        </w:rPr>
        <w:t xml:space="preserve">equal to the total expected lifetime operating hours divided by the average annual operating hours (effective full-load hours, EFLH) for each building type, as shown below. </w:t>
      </w:r>
      <w:r w:rsidR="00997897" w:rsidRPr="00C15ABA">
        <w:rPr>
          <w:rFonts w:eastAsia="Times New Roman" w:cs="Calibri Light"/>
          <w:color w:val="000000"/>
        </w:rPr>
        <w:t xml:space="preserve">Insofar as average hours of operation </w:t>
      </w:r>
      <w:r w:rsidR="00AA5496" w:rsidRPr="00C15ABA">
        <w:rPr>
          <w:rFonts w:eastAsia="Times New Roman" w:cs="Calibri Light"/>
          <w:color w:val="000000"/>
        </w:rPr>
        <w:t>vary</w:t>
      </w:r>
      <w:r w:rsidR="00997897" w:rsidRPr="00C15ABA">
        <w:rPr>
          <w:rFonts w:eastAsia="Times New Roman" w:cs="Calibri Light"/>
          <w:color w:val="000000"/>
        </w:rPr>
        <w:t xml:space="preserve"> by building type, the EUL of the ballast varies by building type.</w:t>
      </w:r>
    </w:p>
    <w:p w14:paraId="35B6946F" w14:textId="3B51BE0D" w:rsidR="00846936" w:rsidRPr="00DE4AFB" w:rsidRDefault="00AC67EC" w:rsidP="00846936">
      <w:pPr>
        <w:ind w:left="720" w:hanging="720"/>
        <w:rPr>
          <w:rFonts w:eastAsia="Times New Roman" w:cs="Calibri Light"/>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EUL</m:t>
              </m:r>
            </m:e>
            <m:sub>
              <m:r>
                <w:rPr>
                  <w:rFonts w:ascii="Cambria Math" w:hAnsi="Cambria Math"/>
                  <w:sz w:val="18"/>
                  <w:szCs w:val="18"/>
                </w:rPr>
                <m:t>ballast</m:t>
              </m:r>
            </m:sub>
          </m:sSub>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(Expected Lifetime Operating Hours)</m:t>
              </m:r>
            </m:num>
            <m:den>
              <m:r>
                <w:rPr>
                  <w:rFonts w:ascii="Cambria Math" w:hAnsi="Cambria Math"/>
                  <w:sz w:val="18"/>
                  <w:szCs w:val="18"/>
                </w:rPr>
                <m:t>(Building Type Average Operating Hours Per Year, EFLH)</m:t>
              </m:r>
            </m:den>
          </m:f>
        </m:oMath>
      </m:oMathPara>
    </w:p>
    <w:p w14:paraId="49F4DC3A" w14:textId="77777777" w:rsidR="00DE4AFB" w:rsidRPr="00846936" w:rsidRDefault="00DE4AFB" w:rsidP="00846936">
      <w:pPr>
        <w:ind w:left="720" w:hanging="720"/>
        <w:rPr>
          <w:rFonts w:eastAsia="Times New Roman" w:cs="Calibri Light"/>
          <w:color w:val="000000"/>
        </w:rPr>
      </w:pPr>
    </w:p>
    <w:p w14:paraId="4D093294" w14:textId="49E2A069" w:rsidR="00C15ABA" w:rsidRPr="00846936" w:rsidRDefault="00AC67EC" w:rsidP="00C15ABA">
      <w:pPr>
        <w:ind w:left="720" w:hanging="720"/>
        <w:rPr>
          <w:rFonts w:eastAsia="Times New Roman" w:cs="Calibri Light"/>
          <w:color w:val="000000"/>
        </w:rPr>
      </w:pPr>
      <m:oMathPara>
        <m:oMathParaPr>
          <m:jc m:val="left"/>
        </m:oMathParaPr>
        <m:oMath>
          <m:sSub>
            <m:sSubPr>
              <m:ctrlPr>
                <w:rPr>
                  <w:rFonts w:ascii="Cambria Math" w:hAnsi="Cambria Math"/>
                  <w:i/>
                  <w:sz w:val="18"/>
                  <w:szCs w:val="18"/>
                </w:rPr>
              </m:ctrlPr>
            </m:sSubPr>
            <m:e>
              <m:r>
                <w:rPr>
                  <w:rFonts w:ascii="Cambria Math" w:hAnsi="Cambria Math"/>
                  <w:sz w:val="18"/>
                  <w:szCs w:val="18"/>
                </w:rPr>
                <m:t>RUL</m:t>
              </m:r>
            </m:e>
            <m:sub>
              <m:r>
                <w:rPr>
                  <w:rFonts w:ascii="Cambria Math" w:hAnsi="Cambria Math"/>
                  <w:sz w:val="18"/>
                  <w:szCs w:val="18"/>
                </w:rPr>
                <m:t>ballast</m:t>
              </m:r>
            </m:sub>
          </m:sSub>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3</m:t>
              </m:r>
            </m:den>
          </m:f>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EUL</m:t>
              </m:r>
            </m:e>
            <m:sub>
              <m:r>
                <w:rPr>
                  <w:rFonts w:ascii="Cambria Math" w:hAnsi="Cambria Math"/>
                  <w:sz w:val="18"/>
                  <w:szCs w:val="18"/>
                </w:rPr>
                <m:t>ballast</m:t>
              </m:r>
            </m:sub>
          </m:sSub>
        </m:oMath>
      </m:oMathPara>
    </w:p>
    <w:p w14:paraId="0B451344" w14:textId="77777777" w:rsidR="00C15ABA" w:rsidRDefault="00C15ABA" w:rsidP="00F704F9">
      <w:pPr>
        <w:rPr>
          <w:rFonts w:eastAsia="Times New Roman" w:cs="Calibri Light"/>
          <w:color w:val="000000"/>
        </w:rPr>
      </w:pPr>
    </w:p>
    <w:p w14:paraId="756E51A1" w14:textId="58B6633B" w:rsidR="00997897" w:rsidRDefault="00997897" w:rsidP="00F704F9">
      <w:pPr>
        <w:rPr>
          <w:rFonts w:eastAsia="Times New Roman" w:cs="Calibri Light"/>
          <w:color w:val="000000"/>
        </w:rPr>
      </w:pPr>
      <w:r>
        <w:t>T</w:t>
      </w:r>
      <w:r>
        <w:rPr>
          <w:rFonts w:cs="Arial"/>
        </w:rPr>
        <w: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28"/>
      </w:r>
      <w:r>
        <w:t xml:space="preserve"> </w:t>
      </w:r>
      <w:r w:rsidRPr="008F087F">
        <w:rPr>
          <w:rFonts w:eastAsia="Times New Roman"/>
        </w:rPr>
        <w:t>This approach provides a reasonable RUL estimate without the requiring any a priori knowledge about the age of the equipment being replaced.</w:t>
      </w:r>
      <w:r>
        <w:rPr>
          <w:rStyle w:val="FootnoteReference"/>
          <w:rFonts w:eastAsia="Times New Roman"/>
        </w:rPr>
        <w:footnoteReference w:id="29"/>
      </w:r>
      <w:r w:rsidRPr="008F087F">
        <w:rPr>
          <w:rFonts w:eastAsia="Times New Roman"/>
        </w:rPr>
        <w:t> </w:t>
      </w:r>
    </w:p>
    <w:p w14:paraId="6767E9F0" w14:textId="7EBAA0C3" w:rsidR="006248BF" w:rsidRDefault="00D234FB" w:rsidP="00F704F9">
      <w:pPr>
        <w:rPr>
          <w:rFonts w:eastAsia="Times New Roman" w:cs="Calibri Light"/>
          <w:color w:val="000000"/>
        </w:rPr>
      </w:pPr>
      <w:r w:rsidRPr="00DE4AFB">
        <w:rPr>
          <w:rFonts w:eastAsia="Times New Roman" w:cs="Calibri Light"/>
          <w:color w:val="000000"/>
        </w:rPr>
        <w:t xml:space="preserve">Note that </w:t>
      </w:r>
      <w:r w:rsidR="00DE4AFB" w:rsidRPr="00DE4AFB">
        <w:rPr>
          <w:rFonts w:eastAsia="Times New Roman" w:cs="Calibri Light"/>
          <w:color w:val="000000"/>
        </w:rPr>
        <w:t>the</w:t>
      </w:r>
      <w:r w:rsidRPr="00DE4AFB">
        <w:rPr>
          <w:rFonts w:eastAsia="Times New Roman" w:cs="Calibri Light"/>
          <w:color w:val="000000"/>
        </w:rPr>
        <w:t xml:space="preserve"> EUL is capped at a maximum value of 15 </w:t>
      </w:r>
      <w:r w:rsidR="00DE4AFB" w:rsidRPr="00DE4AFB">
        <w:rPr>
          <w:rFonts w:eastAsia="Times New Roman" w:cs="Calibri Light"/>
          <w:color w:val="000000"/>
        </w:rPr>
        <w:t>years (and therefore the RUL is capped at a maximum value of 5 years.</w:t>
      </w:r>
      <w:r w:rsidR="00C15ABA">
        <w:rPr>
          <w:rFonts w:eastAsia="Times New Roman" w:cs="Calibri Light"/>
          <w:color w:val="000000"/>
        </w:rPr>
        <w:t xml:space="preserve"> </w:t>
      </w:r>
    </w:p>
    <w:p w14:paraId="412E2BEB" w14:textId="26AD72E8" w:rsidR="00997897" w:rsidRPr="00997897" w:rsidRDefault="00997897" w:rsidP="00997897">
      <w:pPr>
        <w:rPr>
          <w:rFonts w:cs="Calibri Light"/>
        </w:rPr>
      </w:pPr>
      <w:r w:rsidRPr="00997897">
        <w:rPr>
          <w:rFonts w:cs="Calibri Light"/>
        </w:rPr>
        <w:t xml:space="preserve">The inputs and resultant EUL and RUL of LED T8 Replacement Lamps UL Type A are presented </w:t>
      </w:r>
      <w:r w:rsidR="0044046F">
        <w:rPr>
          <w:rFonts w:cs="Calibri Light"/>
        </w:rPr>
        <w:t>below</w:t>
      </w:r>
      <w:r w:rsidRPr="00997897">
        <w:rPr>
          <w:rFonts w:cs="Calibri Light"/>
        </w:rPr>
        <w:t xml:space="preserve">. </w:t>
      </w:r>
    </w:p>
    <w:p w14:paraId="35239649" w14:textId="19283D84" w:rsidR="00932A15" w:rsidRPr="00A50BF4" w:rsidRDefault="00932A15">
      <w:pPr>
        <w:pStyle w:val="Caption"/>
      </w:pPr>
      <w:bookmarkStart w:id="70" w:name="_Toc486490860"/>
      <w:bookmarkStart w:id="71" w:name="_Toc486580931"/>
      <w:bookmarkEnd w:id="69"/>
      <w:r w:rsidRPr="00A50BF4">
        <w:t>Effective Useful Life and Remaining Useful Life Inputs</w:t>
      </w:r>
    </w:p>
    <w:tbl>
      <w:tblPr>
        <w:tblStyle w:val="TableGrid1"/>
        <w:tblW w:w="5150" w:type="pct"/>
        <w:tblInd w:w="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750"/>
        <w:gridCol w:w="1842"/>
        <w:gridCol w:w="1528"/>
        <w:gridCol w:w="3511"/>
      </w:tblGrid>
      <w:tr w:rsidR="006745E0" w:rsidRPr="00A50BF4" w14:paraId="4C672C7B" w14:textId="77777777" w:rsidTr="00345E29">
        <w:trPr>
          <w:cantSplit/>
          <w:trHeight w:val="20"/>
          <w:tblHeader/>
        </w:trPr>
        <w:tc>
          <w:tcPr>
            <w:tcW w:w="1427" w:type="pct"/>
            <w:shd w:val="clear" w:color="auto" w:fill="F2F2F2" w:themeFill="background1" w:themeFillShade="F2"/>
            <w:vAlign w:val="bottom"/>
          </w:tcPr>
          <w:p w14:paraId="31493FF8" w14:textId="77777777" w:rsidR="00932A15" w:rsidRPr="00A50BF4" w:rsidRDefault="00932A15" w:rsidP="006745E0">
            <w:pPr>
              <w:spacing w:before="0" w:after="0"/>
              <w:rPr>
                <w:rFonts w:cstheme="minorHAnsi"/>
                <w:b/>
                <w:sz w:val="20"/>
              </w:rPr>
            </w:pPr>
            <w:r w:rsidRPr="00A50BF4">
              <w:rPr>
                <w:rFonts w:cstheme="minorHAnsi"/>
                <w:b/>
                <w:sz w:val="20"/>
              </w:rPr>
              <w:t>Parameter</w:t>
            </w:r>
          </w:p>
        </w:tc>
        <w:tc>
          <w:tcPr>
            <w:tcW w:w="956" w:type="pct"/>
            <w:shd w:val="clear" w:color="auto" w:fill="F2F2F2" w:themeFill="background1" w:themeFillShade="F2"/>
            <w:vAlign w:val="bottom"/>
          </w:tcPr>
          <w:p w14:paraId="6227D194" w14:textId="13A910B1" w:rsidR="00932A15" w:rsidRPr="00A50BF4" w:rsidRDefault="00932A15" w:rsidP="006745E0">
            <w:pPr>
              <w:spacing w:before="0" w:after="0"/>
              <w:jc w:val="center"/>
              <w:rPr>
                <w:rFonts w:cstheme="minorHAnsi"/>
                <w:b/>
                <w:sz w:val="20"/>
              </w:rPr>
            </w:pPr>
            <w:r w:rsidRPr="00A50BF4">
              <w:rPr>
                <w:b/>
                <w:sz w:val="20"/>
              </w:rPr>
              <w:t xml:space="preserve">Linear Fluorescent </w:t>
            </w:r>
            <w:r w:rsidR="006E5367">
              <w:rPr>
                <w:b/>
                <w:sz w:val="20"/>
              </w:rPr>
              <w:t>w/</w:t>
            </w:r>
            <w:r w:rsidRPr="00A50BF4">
              <w:rPr>
                <w:b/>
                <w:sz w:val="20"/>
              </w:rPr>
              <w:t xml:space="preserve"> Electronic Ballast </w:t>
            </w:r>
            <w:r w:rsidRPr="00A50BF4">
              <w:rPr>
                <w:b/>
                <w:sz w:val="20"/>
              </w:rPr>
              <w:br/>
              <w:t>(primarily com)</w:t>
            </w:r>
          </w:p>
        </w:tc>
        <w:tc>
          <w:tcPr>
            <w:tcW w:w="793" w:type="pct"/>
            <w:shd w:val="clear" w:color="auto" w:fill="F2F2F2" w:themeFill="background1" w:themeFillShade="F2"/>
            <w:vAlign w:val="bottom"/>
          </w:tcPr>
          <w:p w14:paraId="2C9FF55B" w14:textId="29F8E33D" w:rsidR="00932A15" w:rsidRPr="00A50BF4" w:rsidRDefault="000B053E" w:rsidP="006745E0">
            <w:pPr>
              <w:spacing w:before="0" w:after="0"/>
              <w:jc w:val="center"/>
              <w:rPr>
                <w:rFonts w:cstheme="minorHAnsi"/>
                <w:b/>
                <w:sz w:val="20"/>
              </w:rPr>
            </w:pPr>
            <w:r w:rsidRPr="00A50BF4">
              <w:rPr>
                <w:b/>
                <w:sz w:val="20"/>
              </w:rPr>
              <w:t xml:space="preserve">Linear Fluorescent </w:t>
            </w:r>
            <w:r w:rsidR="00932A15" w:rsidRPr="00A50BF4">
              <w:rPr>
                <w:b/>
                <w:sz w:val="20"/>
              </w:rPr>
              <w:t xml:space="preserve">(primarily res) </w:t>
            </w:r>
          </w:p>
        </w:tc>
        <w:tc>
          <w:tcPr>
            <w:tcW w:w="1823" w:type="pct"/>
            <w:shd w:val="clear" w:color="auto" w:fill="F2F2F2" w:themeFill="background1" w:themeFillShade="F2"/>
            <w:vAlign w:val="bottom"/>
          </w:tcPr>
          <w:p w14:paraId="0F946EB1" w14:textId="77777777" w:rsidR="00932A15" w:rsidRPr="00A50BF4" w:rsidRDefault="00932A15" w:rsidP="006745E0">
            <w:pPr>
              <w:spacing w:before="0" w:after="0"/>
              <w:rPr>
                <w:rFonts w:cstheme="minorHAnsi"/>
                <w:b/>
                <w:sz w:val="20"/>
              </w:rPr>
            </w:pPr>
            <w:r w:rsidRPr="00A50BF4">
              <w:rPr>
                <w:rFonts w:cstheme="minorHAnsi"/>
                <w:b/>
                <w:sz w:val="20"/>
              </w:rPr>
              <w:t>Source</w:t>
            </w:r>
          </w:p>
        </w:tc>
      </w:tr>
      <w:tr w:rsidR="006745E0" w:rsidRPr="00A50BF4" w14:paraId="6EA7D459" w14:textId="77777777" w:rsidTr="00345E29">
        <w:trPr>
          <w:cantSplit/>
          <w:trHeight w:val="20"/>
        </w:trPr>
        <w:tc>
          <w:tcPr>
            <w:tcW w:w="1427" w:type="pct"/>
            <w:vAlign w:val="center"/>
          </w:tcPr>
          <w:p w14:paraId="44D4C521" w14:textId="77777777" w:rsidR="00932A15" w:rsidRDefault="00932A15" w:rsidP="006745E0">
            <w:pPr>
              <w:spacing w:before="0" w:after="0"/>
              <w:rPr>
                <w:rFonts w:cs="Calibri Light"/>
                <w:color w:val="000000"/>
                <w:sz w:val="20"/>
              </w:rPr>
            </w:pPr>
            <w:r w:rsidRPr="00A50BF4">
              <w:rPr>
                <w:rFonts w:cs="Calibri Light"/>
                <w:color w:val="000000"/>
                <w:sz w:val="20"/>
              </w:rPr>
              <w:t>Expected Ballast Lifetime Operating Hours</w:t>
            </w:r>
          </w:p>
          <w:p w14:paraId="319B6525" w14:textId="2A5E4BBC" w:rsidR="000B053E" w:rsidRDefault="000B053E" w:rsidP="000B053E">
            <w:pPr>
              <w:spacing w:before="0" w:after="0"/>
              <w:rPr>
                <w:rFonts w:cs="Calibri Light"/>
                <w:color w:val="000000"/>
                <w:sz w:val="20"/>
              </w:rPr>
            </w:pPr>
            <w:r>
              <w:rPr>
                <w:rFonts w:cs="Calibri Light"/>
                <w:color w:val="000000"/>
                <w:sz w:val="20"/>
              </w:rPr>
              <w:t xml:space="preserve">Non-Res EUL ID: </w:t>
            </w:r>
            <w:proofErr w:type="spellStart"/>
            <w:r w:rsidRPr="000B053E">
              <w:rPr>
                <w:rFonts w:cs="Calibri Light"/>
                <w:color w:val="000000"/>
                <w:sz w:val="20"/>
              </w:rPr>
              <w:t>ILtg</w:t>
            </w:r>
            <w:proofErr w:type="spellEnd"/>
            <w:r w:rsidRPr="000B053E">
              <w:rPr>
                <w:rFonts w:cs="Calibri Light"/>
                <w:color w:val="000000"/>
                <w:sz w:val="20"/>
              </w:rPr>
              <w:t>-</w:t>
            </w:r>
            <w:proofErr w:type="spellStart"/>
            <w:r w:rsidRPr="000B053E">
              <w:rPr>
                <w:rFonts w:cs="Calibri Light"/>
                <w:color w:val="000000"/>
                <w:sz w:val="20"/>
              </w:rPr>
              <w:t>Lfluor</w:t>
            </w:r>
            <w:proofErr w:type="spellEnd"/>
            <w:r w:rsidRPr="000B053E">
              <w:rPr>
                <w:rFonts w:cs="Calibri Light"/>
                <w:color w:val="000000"/>
                <w:sz w:val="20"/>
              </w:rPr>
              <w:t xml:space="preserve">-Elec </w:t>
            </w:r>
          </w:p>
          <w:p w14:paraId="2D223CA8" w14:textId="2155C1F8" w:rsidR="000B053E" w:rsidRPr="00A50BF4" w:rsidRDefault="000B053E" w:rsidP="000B053E">
            <w:pPr>
              <w:spacing w:before="0" w:after="0"/>
              <w:rPr>
                <w:rFonts w:cs="Calibri Light"/>
                <w:color w:val="000000"/>
                <w:sz w:val="20"/>
              </w:rPr>
            </w:pPr>
            <w:r>
              <w:rPr>
                <w:rFonts w:cs="Calibri Light"/>
                <w:color w:val="000000"/>
                <w:sz w:val="20"/>
              </w:rPr>
              <w:t xml:space="preserve">Res EUL ID: </w:t>
            </w:r>
            <w:proofErr w:type="spellStart"/>
            <w:r w:rsidRPr="000B053E">
              <w:rPr>
                <w:rFonts w:cs="Calibri Light"/>
                <w:color w:val="000000"/>
                <w:sz w:val="20"/>
              </w:rPr>
              <w:t>LtgFixture</w:t>
            </w:r>
            <w:proofErr w:type="spellEnd"/>
            <w:r w:rsidRPr="000B053E">
              <w:rPr>
                <w:rFonts w:cs="Calibri Light"/>
                <w:color w:val="000000"/>
                <w:sz w:val="20"/>
              </w:rPr>
              <w:t>-Default</w:t>
            </w:r>
          </w:p>
        </w:tc>
        <w:tc>
          <w:tcPr>
            <w:tcW w:w="956" w:type="pct"/>
            <w:vAlign w:val="center"/>
          </w:tcPr>
          <w:p w14:paraId="157DC7EF" w14:textId="77777777" w:rsidR="00932A15" w:rsidRPr="000527D0" w:rsidRDefault="00932A15" w:rsidP="006745E0">
            <w:pPr>
              <w:spacing w:before="0" w:after="0"/>
              <w:jc w:val="center"/>
              <w:rPr>
                <w:sz w:val="20"/>
              </w:rPr>
            </w:pPr>
            <w:r w:rsidRPr="000527D0">
              <w:rPr>
                <w:sz w:val="20"/>
              </w:rPr>
              <w:t>70,000</w:t>
            </w:r>
          </w:p>
        </w:tc>
        <w:tc>
          <w:tcPr>
            <w:tcW w:w="793" w:type="pct"/>
            <w:vAlign w:val="center"/>
          </w:tcPr>
          <w:p w14:paraId="156BD991" w14:textId="77777777" w:rsidR="00932A15" w:rsidRPr="000527D0" w:rsidRDefault="00932A15" w:rsidP="006745E0">
            <w:pPr>
              <w:spacing w:before="0" w:after="0"/>
              <w:jc w:val="center"/>
              <w:rPr>
                <w:sz w:val="20"/>
              </w:rPr>
            </w:pPr>
            <w:r w:rsidRPr="000527D0">
              <w:rPr>
                <w:sz w:val="20"/>
              </w:rPr>
              <w:t>70,000</w:t>
            </w:r>
          </w:p>
        </w:tc>
        <w:tc>
          <w:tcPr>
            <w:tcW w:w="1823" w:type="pct"/>
            <w:vAlign w:val="center"/>
          </w:tcPr>
          <w:p w14:paraId="65865CED" w14:textId="42D26607" w:rsidR="00932A15" w:rsidRPr="006745E0" w:rsidRDefault="00991C8D" w:rsidP="006745E0">
            <w:pPr>
              <w:spacing w:before="0" w:after="0"/>
              <w:rPr>
                <w:color w:val="191919" w:themeColor="text1"/>
                <w:sz w:val="18"/>
                <w:szCs w:val="18"/>
                <w:highlight w:val="yellow"/>
              </w:rPr>
            </w:pPr>
            <w:r>
              <w:rPr>
                <w:color w:val="191919" w:themeColor="text1"/>
                <w:sz w:val="18"/>
                <w:szCs w:val="18"/>
              </w:rPr>
              <w:t xml:space="preserve">The source for this data/information is unknown. </w:t>
            </w:r>
          </w:p>
        </w:tc>
      </w:tr>
      <w:tr w:rsidR="006745E0" w:rsidRPr="00A50BF4" w14:paraId="26EDF550" w14:textId="77777777" w:rsidTr="00345E29">
        <w:trPr>
          <w:cantSplit/>
          <w:trHeight w:val="20"/>
        </w:trPr>
        <w:tc>
          <w:tcPr>
            <w:tcW w:w="1427" w:type="pct"/>
            <w:vAlign w:val="center"/>
          </w:tcPr>
          <w:p w14:paraId="378A5BE2" w14:textId="77777777" w:rsidR="00932A15" w:rsidRPr="00A50BF4" w:rsidRDefault="00932A15" w:rsidP="006745E0">
            <w:pPr>
              <w:spacing w:before="0" w:after="0"/>
              <w:rPr>
                <w:rFonts w:cs="Calibri Light"/>
                <w:color w:val="000000"/>
                <w:sz w:val="20"/>
              </w:rPr>
            </w:pPr>
            <w:r w:rsidRPr="00A50BF4">
              <w:rPr>
                <w:rFonts w:cs="Calibri Light"/>
                <w:color w:val="000000"/>
                <w:sz w:val="20"/>
              </w:rPr>
              <w:t>Hours of Use</w:t>
            </w:r>
          </w:p>
        </w:tc>
        <w:tc>
          <w:tcPr>
            <w:tcW w:w="956" w:type="pct"/>
            <w:vAlign w:val="center"/>
          </w:tcPr>
          <w:p w14:paraId="51F3C930" w14:textId="77777777" w:rsidR="00932A15" w:rsidRPr="000527D0" w:rsidRDefault="00932A15" w:rsidP="006745E0">
            <w:pPr>
              <w:spacing w:before="0" w:after="0"/>
              <w:jc w:val="center"/>
              <w:rPr>
                <w:sz w:val="20"/>
              </w:rPr>
            </w:pPr>
            <w:r w:rsidRPr="000527D0">
              <w:rPr>
                <w:sz w:val="20"/>
              </w:rPr>
              <w:t>Varies by building type</w:t>
            </w:r>
          </w:p>
        </w:tc>
        <w:tc>
          <w:tcPr>
            <w:tcW w:w="793" w:type="pct"/>
            <w:vAlign w:val="center"/>
          </w:tcPr>
          <w:p w14:paraId="107A1959" w14:textId="77777777" w:rsidR="00932A15" w:rsidRPr="000527D0" w:rsidRDefault="00932A15" w:rsidP="006745E0">
            <w:pPr>
              <w:spacing w:before="0" w:after="0"/>
              <w:jc w:val="center"/>
              <w:rPr>
                <w:sz w:val="20"/>
              </w:rPr>
            </w:pPr>
            <w:r w:rsidRPr="000527D0">
              <w:rPr>
                <w:sz w:val="20"/>
              </w:rPr>
              <w:t>Varies by building type</w:t>
            </w:r>
          </w:p>
        </w:tc>
        <w:tc>
          <w:tcPr>
            <w:tcW w:w="1823" w:type="pct"/>
            <w:vAlign w:val="center"/>
          </w:tcPr>
          <w:p w14:paraId="372B15D1" w14:textId="4C3262A2" w:rsidR="00932A15" w:rsidRPr="006745E0" w:rsidRDefault="00932A15" w:rsidP="006745E0">
            <w:pPr>
              <w:spacing w:before="0" w:after="0"/>
              <w:rPr>
                <w:sz w:val="18"/>
                <w:szCs w:val="18"/>
              </w:rPr>
            </w:pPr>
            <w:r w:rsidRPr="006745E0">
              <w:rPr>
                <w:sz w:val="18"/>
                <w:szCs w:val="18"/>
              </w:rPr>
              <w:t>California Public Utilities Commission (CPUC). 20</w:t>
            </w:r>
            <w:r w:rsidR="002C117F">
              <w:rPr>
                <w:sz w:val="18"/>
                <w:szCs w:val="18"/>
              </w:rPr>
              <w:t>20</w:t>
            </w:r>
            <w:r w:rsidRPr="006745E0">
              <w:rPr>
                <w:sz w:val="18"/>
                <w:szCs w:val="18"/>
              </w:rPr>
              <w:t>. "SupportTable_2020-Com-InLtg.</w:t>
            </w:r>
            <w:r w:rsidR="00C90922">
              <w:rPr>
                <w:sz w:val="18"/>
                <w:szCs w:val="18"/>
              </w:rPr>
              <w:t>csv</w:t>
            </w:r>
            <w:r w:rsidRPr="006745E0">
              <w:rPr>
                <w:sz w:val="18"/>
                <w:szCs w:val="18"/>
              </w:rPr>
              <w:t>."</w:t>
            </w:r>
          </w:p>
          <w:p w14:paraId="0AF0CC65" w14:textId="77777777" w:rsidR="00932A15" w:rsidRPr="006745E0" w:rsidRDefault="00932A15" w:rsidP="006745E0">
            <w:pPr>
              <w:spacing w:before="0" w:after="0"/>
              <w:rPr>
                <w:sz w:val="18"/>
                <w:szCs w:val="18"/>
                <w:highlight w:val="yellow"/>
              </w:rPr>
            </w:pPr>
          </w:p>
          <w:p w14:paraId="52DDED85" w14:textId="43FEB662" w:rsidR="00932A15" w:rsidRPr="006745E0" w:rsidRDefault="00932A15" w:rsidP="006745E0">
            <w:pPr>
              <w:spacing w:before="0" w:after="0"/>
              <w:rPr>
                <w:sz w:val="18"/>
                <w:szCs w:val="18"/>
                <w:highlight w:val="yellow"/>
              </w:rPr>
            </w:pPr>
            <w:r w:rsidRPr="006745E0">
              <w:rPr>
                <w:sz w:val="18"/>
                <w:szCs w:val="18"/>
              </w:rPr>
              <w:t>California Public Utilities Commission (CPUC). 20</w:t>
            </w:r>
            <w:r w:rsidR="002C117F">
              <w:rPr>
                <w:sz w:val="18"/>
                <w:szCs w:val="18"/>
              </w:rPr>
              <w:t>20</w:t>
            </w:r>
            <w:r w:rsidRPr="006745E0">
              <w:rPr>
                <w:sz w:val="18"/>
                <w:szCs w:val="18"/>
              </w:rPr>
              <w:t>. "SupportTable_2020-Res-InLtg.</w:t>
            </w:r>
            <w:r w:rsidR="00C90922">
              <w:rPr>
                <w:sz w:val="18"/>
                <w:szCs w:val="18"/>
              </w:rPr>
              <w:t>csv</w:t>
            </w:r>
            <w:r w:rsidRPr="006745E0">
              <w:rPr>
                <w:sz w:val="18"/>
                <w:szCs w:val="18"/>
              </w:rPr>
              <w:t>."</w:t>
            </w:r>
          </w:p>
        </w:tc>
      </w:tr>
      <w:tr w:rsidR="00991C8D" w:rsidRPr="00A50BF4" w14:paraId="4F67B200" w14:textId="77777777" w:rsidTr="00345E29">
        <w:trPr>
          <w:cantSplit/>
          <w:trHeight w:val="20"/>
        </w:trPr>
        <w:tc>
          <w:tcPr>
            <w:tcW w:w="1427" w:type="pct"/>
            <w:vAlign w:val="center"/>
          </w:tcPr>
          <w:p w14:paraId="1DC67B5C" w14:textId="77777777" w:rsidR="00991C8D" w:rsidRDefault="00991C8D" w:rsidP="00991C8D">
            <w:pPr>
              <w:spacing w:before="0" w:after="0"/>
              <w:rPr>
                <w:rFonts w:cs="Calibri Light"/>
                <w:color w:val="000000"/>
                <w:sz w:val="20"/>
              </w:rPr>
            </w:pPr>
            <w:r w:rsidRPr="00A50BF4">
              <w:rPr>
                <w:rFonts w:cs="Calibri Light"/>
                <w:color w:val="000000"/>
                <w:sz w:val="20"/>
              </w:rPr>
              <w:t>EUL (</w:t>
            </w:r>
            <w:proofErr w:type="spellStart"/>
            <w:r w:rsidRPr="00A50BF4">
              <w:rPr>
                <w:rFonts w:cs="Calibri Light"/>
                <w:color w:val="000000"/>
                <w:sz w:val="20"/>
              </w:rPr>
              <w:t>yrs</w:t>
            </w:r>
            <w:proofErr w:type="spellEnd"/>
            <w:r w:rsidRPr="00A50BF4">
              <w:rPr>
                <w:rFonts w:cs="Calibri Light"/>
                <w:color w:val="000000"/>
                <w:sz w:val="20"/>
              </w:rPr>
              <w:t>) – host ballast</w:t>
            </w:r>
          </w:p>
          <w:p w14:paraId="7A994D2D" w14:textId="77777777" w:rsidR="000B053E" w:rsidRDefault="000B053E" w:rsidP="000B053E">
            <w:pPr>
              <w:spacing w:before="0" w:after="0"/>
              <w:rPr>
                <w:rFonts w:cs="Calibri Light"/>
                <w:color w:val="000000"/>
                <w:sz w:val="20"/>
              </w:rPr>
            </w:pPr>
            <w:r>
              <w:rPr>
                <w:rFonts w:cs="Calibri Light"/>
                <w:color w:val="000000"/>
                <w:sz w:val="20"/>
              </w:rPr>
              <w:t xml:space="preserve">Non-Res EUL ID: </w:t>
            </w:r>
            <w:proofErr w:type="spellStart"/>
            <w:r w:rsidRPr="000B053E">
              <w:rPr>
                <w:rFonts w:cs="Calibri Light"/>
                <w:color w:val="000000"/>
                <w:sz w:val="20"/>
              </w:rPr>
              <w:t>ILtg</w:t>
            </w:r>
            <w:proofErr w:type="spellEnd"/>
            <w:r w:rsidRPr="000B053E">
              <w:rPr>
                <w:rFonts w:cs="Calibri Light"/>
                <w:color w:val="000000"/>
                <w:sz w:val="20"/>
              </w:rPr>
              <w:t>-</w:t>
            </w:r>
            <w:proofErr w:type="spellStart"/>
            <w:r w:rsidRPr="000B053E">
              <w:rPr>
                <w:rFonts w:cs="Calibri Light"/>
                <w:color w:val="000000"/>
                <w:sz w:val="20"/>
              </w:rPr>
              <w:t>Lfluor</w:t>
            </w:r>
            <w:proofErr w:type="spellEnd"/>
            <w:r w:rsidRPr="000B053E">
              <w:rPr>
                <w:rFonts w:cs="Calibri Light"/>
                <w:color w:val="000000"/>
                <w:sz w:val="20"/>
              </w:rPr>
              <w:t xml:space="preserve">-Elec </w:t>
            </w:r>
          </w:p>
          <w:p w14:paraId="11E8CA6B" w14:textId="6632AC75" w:rsidR="000B053E" w:rsidRPr="00A50BF4" w:rsidRDefault="000B053E">
            <w:pPr>
              <w:spacing w:before="0" w:after="0"/>
              <w:rPr>
                <w:rFonts w:cs="Calibri Light"/>
                <w:color w:val="000000"/>
                <w:sz w:val="20"/>
              </w:rPr>
            </w:pPr>
            <w:r>
              <w:rPr>
                <w:rFonts w:cs="Calibri Light"/>
                <w:color w:val="000000"/>
                <w:sz w:val="20"/>
              </w:rPr>
              <w:t xml:space="preserve">Res EUL ID: </w:t>
            </w:r>
            <w:proofErr w:type="spellStart"/>
            <w:r w:rsidRPr="000B053E">
              <w:rPr>
                <w:rFonts w:cs="Calibri Light"/>
                <w:color w:val="000000"/>
                <w:sz w:val="20"/>
              </w:rPr>
              <w:t>LtgFixture</w:t>
            </w:r>
            <w:proofErr w:type="spellEnd"/>
            <w:r w:rsidRPr="000B053E">
              <w:rPr>
                <w:rFonts w:cs="Calibri Light"/>
                <w:color w:val="000000"/>
                <w:sz w:val="20"/>
              </w:rPr>
              <w:t>-Default</w:t>
            </w:r>
          </w:p>
        </w:tc>
        <w:tc>
          <w:tcPr>
            <w:tcW w:w="956" w:type="pct"/>
            <w:vAlign w:val="center"/>
          </w:tcPr>
          <w:p w14:paraId="5BE227ED" w14:textId="6B24A0CE" w:rsidR="00991C8D" w:rsidRPr="000527D0" w:rsidRDefault="00991C8D" w:rsidP="00991C8D">
            <w:pPr>
              <w:spacing w:before="0" w:after="0"/>
              <w:jc w:val="center"/>
              <w:rPr>
                <w:sz w:val="20"/>
              </w:rPr>
            </w:pPr>
            <w:r w:rsidRPr="000527D0">
              <w:rPr>
                <w:sz w:val="20"/>
              </w:rPr>
              <w:t>Varies by building type</w:t>
            </w:r>
            <w:r>
              <w:rPr>
                <w:sz w:val="20"/>
              </w:rPr>
              <w:br/>
            </w:r>
            <w:r w:rsidRPr="000527D0">
              <w:rPr>
                <w:sz w:val="20"/>
              </w:rPr>
              <w:t>(max</w:t>
            </w:r>
            <w:r>
              <w:rPr>
                <w:sz w:val="20"/>
              </w:rPr>
              <w:t>.</w:t>
            </w:r>
            <w:r w:rsidRPr="000527D0">
              <w:rPr>
                <w:sz w:val="20"/>
              </w:rPr>
              <w:t xml:space="preserve"> 15 years)</w:t>
            </w:r>
          </w:p>
        </w:tc>
        <w:tc>
          <w:tcPr>
            <w:tcW w:w="793" w:type="pct"/>
            <w:vAlign w:val="center"/>
          </w:tcPr>
          <w:p w14:paraId="5D9314DE" w14:textId="767DB209" w:rsidR="00991C8D" w:rsidRPr="000527D0" w:rsidRDefault="00991C8D" w:rsidP="00991C8D">
            <w:pPr>
              <w:spacing w:before="0" w:after="0"/>
              <w:jc w:val="center"/>
              <w:rPr>
                <w:sz w:val="20"/>
              </w:rPr>
            </w:pPr>
            <w:r w:rsidRPr="000527D0">
              <w:rPr>
                <w:sz w:val="20"/>
              </w:rPr>
              <w:t xml:space="preserve">Varies by building </w:t>
            </w:r>
            <w:r>
              <w:rPr>
                <w:sz w:val="20"/>
              </w:rPr>
              <w:t>ty</w:t>
            </w:r>
            <w:r w:rsidRPr="000527D0">
              <w:rPr>
                <w:sz w:val="20"/>
              </w:rPr>
              <w:t>pe</w:t>
            </w:r>
            <w:r>
              <w:rPr>
                <w:sz w:val="20"/>
              </w:rPr>
              <w:br/>
            </w:r>
            <w:r w:rsidRPr="000527D0">
              <w:rPr>
                <w:sz w:val="20"/>
              </w:rPr>
              <w:t>(max</w:t>
            </w:r>
            <w:r>
              <w:rPr>
                <w:sz w:val="20"/>
              </w:rPr>
              <w:t>.</w:t>
            </w:r>
            <w:r w:rsidRPr="000527D0">
              <w:rPr>
                <w:sz w:val="20"/>
              </w:rPr>
              <w:t xml:space="preserve"> 15 years)</w:t>
            </w:r>
          </w:p>
        </w:tc>
        <w:tc>
          <w:tcPr>
            <w:tcW w:w="1823" w:type="pct"/>
            <w:vAlign w:val="center"/>
          </w:tcPr>
          <w:p w14:paraId="6E946EB3" w14:textId="29F3F136" w:rsidR="00991C8D" w:rsidRPr="006745E0" w:rsidRDefault="00991C8D" w:rsidP="00991C8D">
            <w:pPr>
              <w:spacing w:before="0" w:after="0"/>
              <w:rPr>
                <w:sz w:val="18"/>
                <w:szCs w:val="18"/>
                <w:highlight w:val="yellow"/>
              </w:rPr>
            </w:pPr>
            <w:r>
              <w:rPr>
                <w:color w:val="191919" w:themeColor="text1"/>
                <w:sz w:val="18"/>
                <w:szCs w:val="18"/>
              </w:rPr>
              <w:t xml:space="preserve">The source for this data/information is unknown. </w:t>
            </w:r>
          </w:p>
        </w:tc>
      </w:tr>
      <w:tr w:rsidR="006745E0" w:rsidRPr="00A50BF4" w14:paraId="0B291E1D" w14:textId="77777777" w:rsidTr="00345E29">
        <w:trPr>
          <w:cantSplit/>
          <w:trHeight w:val="20"/>
        </w:trPr>
        <w:tc>
          <w:tcPr>
            <w:tcW w:w="1427" w:type="pct"/>
            <w:vAlign w:val="center"/>
          </w:tcPr>
          <w:p w14:paraId="118CA285" w14:textId="77777777" w:rsidR="000B053E" w:rsidRDefault="000B053E" w:rsidP="000B053E">
            <w:pPr>
              <w:spacing w:before="0" w:after="0"/>
              <w:rPr>
                <w:rFonts w:cs="Calibri Light"/>
                <w:color w:val="000000"/>
                <w:sz w:val="20"/>
              </w:rPr>
            </w:pPr>
            <w:r w:rsidRPr="00A50BF4">
              <w:rPr>
                <w:rFonts w:cs="Calibri Light"/>
                <w:color w:val="000000"/>
                <w:sz w:val="20"/>
              </w:rPr>
              <w:t>EUL (</w:t>
            </w:r>
            <w:proofErr w:type="spellStart"/>
            <w:r w:rsidRPr="00A50BF4">
              <w:rPr>
                <w:rFonts w:cs="Calibri Light"/>
                <w:color w:val="000000"/>
                <w:sz w:val="20"/>
              </w:rPr>
              <w:t>yrs</w:t>
            </w:r>
            <w:proofErr w:type="spellEnd"/>
            <w:r w:rsidRPr="00A50BF4">
              <w:rPr>
                <w:rFonts w:cs="Calibri Light"/>
                <w:color w:val="000000"/>
                <w:sz w:val="20"/>
              </w:rPr>
              <w:t>) – host ballast</w:t>
            </w:r>
          </w:p>
          <w:p w14:paraId="22D81AF4" w14:textId="77777777" w:rsidR="000B053E" w:rsidRDefault="000B053E" w:rsidP="000B053E">
            <w:pPr>
              <w:spacing w:before="0" w:after="0"/>
              <w:rPr>
                <w:rFonts w:cs="Calibri Light"/>
                <w:color w:val="000000"/>
                <w:sz w:val="20"/>
              </w:rPr>
            </w:pPr>
            <w:r>
              <w:rPr>
                <w:rFonts w:cs="Calibri Light"/>
                <w:color w:val="000000"/>
                <w:sz w:val="20"/>
              </w:rPr>
              <w:t xml:space="preserve">Non-Res EUL ID: </w:t>
            </w:r>
            <w:proofErr w:type="spellStart"/>
            <w:r w:rsidRPr="000B053E">
              <w:rPr>
                <w:rFonts w:cs="Calibri Light"/>
                <w:color w:val="000000"/>
                <w:sz w:val="20"/>
              </w:rPr>
              <w:t>ILtg</w:t>
            </w:r>
            <w:proofErr w:type="spellEnd"/>
            <w:r w:rsidRPr="000B053E">
              <w:rPr>
                <w:rFonts w:cs="Calibri Light"/>
                <w:color w:val="000000"/>
                <w:sz w:val="20"/>
              </w:rPr>
              <w:t>-</w:t>
            </w:r>
            <w:proofErr w:type="spellStart"/>
            <w:r w:rsidRPr="000B053E">
              <w:rPr>
                <w:rFonts w:cs="Calibri Light"/>
                <w:color w:val="000000"/>
                <w:sz w:val="20"/>
              </w:rPr>
              <w:t>Lfluor</w:t>
            </w:r>
            <w:proofErr w:type="spellEnd"/>
            <w:r w:rsidRPr="000B053E">
              <w:rPr>
                <w:rFonts w:cs="Calibri Light"/>
                <w:color w:val="000000"/>
                <w:sz w:val="20"/>
              </w:rPr>
              <w:t xml:space="preserve">-Elec </w:t>
            </w:r>
          </w:p>
          <w:p w14:paraId="58249645" w14:textId="1DA7A160" w:rsidR="00932A15" w:rsidRPr="00A50BF4" w:rsidRDefault="000B053E" w:rsidP="000B053E">
            <w:pPr>
              <w:spacing w:before="0" w:after="0"/>
              <w:rPr>
                <w:rFonts w:cs="Calibri Light"/>
                <w:color w:val="000000"/>
                <w:sz w:val="20"/>
              </w:rPr>
            </w:pPr>
            <w:r>
              <w:rPr>
                <w:rFonts w:cs="Calibri Light"/>
                <w:color w:val="000000"/>
                <w:sz w:val="20"/>
              </w:rPr>
              <w:t xml:space="preserve">Res EUL ID: </w:t>
            </w:r>
            <w:proofErr w:type="spellStart"/>
            <w:r w:rsidRPr="000B053E">
              <w:rPr>
                <w:rFonts w:cs="Calibri Light"/>
                <w:color w:val="000000"/>
                <w:sz w:val="20"/>
              </w:rPr>
              <w:t>LtgFixture</w:t>
            </w:r>
            <w:proofErr w:type="spellEnd"/>
            <w:r w:rsidRPr="000B053E">
              <w:rPr>
                <w:rFonts w:cs="Calibri Light"/>
                <w:color w:val="000000"/>
                <w:sz w:val="20"/>
              </w:rPr>
              <w:t>-Default</w:t>
            </w:r>
            <w:r w:rsidRPr="00A50BF4" w:rsidDel="000B053E">
              <w:rPr>
                <w:rFonts w:cs="Calibri Light"/>
                <w:color w:val="000000"/>
                <w:sz w:val="20"/>
              </w:rPr>
              <w:t xml:space="preserve"> </w:t>
            </w:r>
          </w:p>
        </w:tc>
        <w:tc>
          <w:tcPr>
            <w:tcW w:w="956" w:type="pct"/>
            <w:vAlign w:val="center"/>
          </w:tcPr>
          <w:p w14:paraId="0EA5C0F7" w14:textId="77777777" w:rsidR="00932A15" w:rsidRPr="000527D0" w:rsidRDefault="00932A15" w:rsidP="006745E0">
            <w:pPr>
              <w:spacing w:before="0" w:after="0"/>
              <w:jc w:val="center"/>
              <w:rPr>
                <w:sz w:val="20"/>
              </w:rPr>
            </w:pPr>
            <w:r w:rsidRPr="000527D0">
              <w:rPr>
                <w:sz w:val="20"/>
              </w:rPr>
              <w:t>Varies by building type</w:t>
            </w:r>
          </w:p>
          <w:p w14:paraId="07E88CCA" w14:textId="77777777" w:rsidR="00932A15" w:rsidRPr="000527D0" w:rsidRDefault="00932A15" w:rsidP="006745E0">
            <w:pPr>
              <w:spacing w:before="0" w:after="0"/>
              <w:jc w:val="center"/>
              <w:rPr>
                <w:sz w:val="20"/>
              </w:rPr>
            </w:pPr>
            <w:r w:rsidRPr="000527D0">
              <w:rPr>
                <w:sz w:val="20"/>
              </w:rPr>
              <w:t>(max of 5 years)</w:t>
            </w:r>
          </w:p>
        </w:tc>
        <w:tc>
          <w:tcPr>
            <w:tcW w:w="793" w:type="pct"/>
            <w:vAlign w:val="center"/>
          </w:tcPr>
          <w:p w14:paraId="7F6DD8AD" w14:textId="77777777" w:rsidR="00932A15" w:rsidRPr="000527D0" w:rsidRDefault="00932A15" w:rsidP="006745E0">
            <w:pPr>
              <w:spacing w:before="0" w:after="0"/>
              <w:jc w:val="center"/>
              <w:rPr>
                <w:sz w:val="20"/>
              </w:rPr>
            </w:pPr>
            <w:r w:rsidRPr="000527D0">
              <w:rPr>
                <w:sz w:val="20"/>
              </w:rPr>
              <w:t>Varies by building type</w:t>
            </w:r>
          </w:p>
          <w:p w14:paraId="341E6700" w14:textId="77777777" w:rsidR="00932A15" w:rsidRPr="000527D0" w:rsidRDefault="00932A15" w:rsidP="006745E0">
            <w:pPr>
              <w:spacing w:before="0" w:after="0"/>
              <w:jc w:val="center"/>
              <w:rPr>
                <w:sz w:val="20"/>
              </w:rPr>
            </w:pPr>
            <w:r w:rsidRPr="000527D0">
              <w:rPr>
                <w:sz w:val="20"/>
              </w:rPr>
              <w:t>(max of 5 years)</w:t>
            </w:r>
          </w:p>
        </w:tc>
        <w:tc>
          <w:tcPr>
            <w:tcW w:w="1823" w:type="pct"/>
            <w:vAlign w:val="center"/>
          </w:tcPr>
          <w:p w14:paraId="0D62321C" w14:textId="77777777" w:rsidR="00932A15" w:rsidRPr="00A50BF4" w:rsidRDefault="00932A15" w:rsidP="006745E0">
            <w:pPr>
              <w:spacing w:before="0" w:after="0"/>
              <w:rPr>
                <w:sz w:val="20"/>
              </w:rPr>
            </w:pPr>
            <w:r w:rsidRPr="00A50BF4">
              <w:rPr>
                <w:sz w:val="20"/>
              </w:rPr>
              <w:t>-</w:t>
            </w:r>
          </w:p>
        </w:tc>
      </w:tr>
    </w:tbl>
    <w:p w14:paraId="4374EC04" w14:textId="77777777" w:rsidR="00932A15" w:rsidRDefault="00932A15" w:rsidP="00932A15"/>
    <w:p w14:paraId="2AC0FDB4" w14:textId="77777777" w:rsidR="007D230B" w:rsidRPr="004B06E3" w:rsidRDefault="007D230B" w:rsidP="00462BB6">
      <w:pPr>
        <w:pStyle w:val="eTRMHeading3"/>
      </w:pPr>
      <w:bookmarkStart w:id="72" w:name="_Toc40948499"/>
      <w:r w:rsidRPr="004B06E3">
        <w:lastRenderedPageBreak/>
        <w:t>Base Case Material Cost ($/unit)</w:t>
      </w:r>
      <w:bookmarkEnd w:id="70"/>
      <w:bookmarkEnd w:id="71"/>
      <w:bookmarkEnd w:id="72"/>
    </w:p>
    <w:p w14:paraId="13DD12F9" w14:textId="55BD7CF7" w:rsidR="00932A15" w:rsidRPr="009D7E8D" w:rsidRDefault="00870CC3" w:rsidP="00932A15">
      <w:r>
        <w:t xml:space="preserve">The base case material cost was derived from online price data collected via web scraping from </w:t>
      </w:r>
      <w:r w:rsidR="00C73993">
        <w:t xml:space="preserve">various online retailers such as </w:t>
      </w:r>
      <w:r w:rsidR="00932A15">
        <w:t xml:space="preserve">1000 bulbs, Bulbs.com, </w:t>
      </w:r>
      <w:r w:rsidR="002E7C15">
        <w:t>Top Bulb</w:t>
      </w:r>
      <w:r w:rsidR="00C34085">
        <w:t>,</w:t>
      </w:r>
      <w:r w:rsidR="00932A15">
        <w:t xml:space="preserve"> and Home Depot websites</w:t>
      </w:r>
      <w:r w:rsidR="00C73993">
        <w:t xml:space="preserve"> in the second quarter of 2020</w:t>
      </w:r>
      <w:r w:rsidR="00932A15">
        <w:t xml:space="preserve">. </w:t>
      </w:r>
      <w:r>
        <w:t>The material cost was calculated as the weighted average material cost per TLED wattage. The weighting factor was derived from the estimates of market saturation from the Southern California Edison (SCE) program data, using average costs for the estimated measure case wattages described in the Electric Savings section.</w:t>
      </w:r>
      <w:r w:rsidR="00C73CF9">
        <w:t xml:space="preserve"> </w:t>
      </w:r>
      <w:r w:rsidR="00932A15">
        <w:t>The base case material costs were weighted using 42% 28W T8 lamps and 58% 32W T8 lamps.</w:t>
      </w:r>
      <w:r w:rsidR="00837F60">
        <w:rPr>
          <w:rStyle w:val="FootnoteReference"/>
        </w:rPr>
        <w:footnoteReference w:id="30"/>
      </w:r>
    </w:p>
    <w:p w14:paraId="2DFE99D6" w14:textId="77777777" w:rsidR="007D230B" w:rsidRPr="004B06E3" w:rsidRDefault="007D230B" w:rsidP="004142EF">
      <w:r w:rsidRPr="004B06E3">
        <w:t> </w:t>
      </w:r>
    </w:p>
    <w:p w14:paraId="1B606D41" w14:textId="77777777" w:rsidR="007D230B" w:rsidRPr="004B06E3" w:rsidRDefault="007D230B" w:rsidP="00462BB6">
      <w:pPr>
        <w:pStyle w:val="eTRMHeading3"/>
      </w:pPr>
      <w:bookmarkStart w:id="73" w:name="_Toc486490861"/>
      <w:bookmarkStart w:id="74" w:name="_Toc486580932"/>
      <w:bookmarkStart w:id="75" w:name="_Toc40948500"/>
      <w:r w:rsidRPr="004B06E3">
        <w:t>Measure Case Material Cost ($/unit)</w:t>
      </w:r>
      <w:bookmarkEnd w:id="73"/>
      <w:bookmarkEnd w:id="74"/>
      <w:bookmarkEnd w:id="75"/>
    </w:p>
    <w:p w14:paraId="0BF8BEE9" w14:textId="1D86D139" w:rsidR="00932A15" w:rsidRPr="009D7E8D" w:rsidRDefault="00870CC3" w:rsidP="00932A15">
      <w:r>
        <w:t>The m</w:t>
      </w:r>
      <w:r w:rsidR="00A3494C">
        <w:t xml:space="preserve">easure case material cost was derived from online price data collected via </w:t>
      </w:r>
      <w:r w:rsidR="00932A15">
        <w:t>web scraping from</w:t>
      </w:r>
      <w:r w:rsidR="00C73993" w:rsidRPr="00C73993">
        <w:t xml:space="preserve"> </w:t>
      </w:r>
      <w:r w:rsidR="00C73993">
        <w:t>various online retailers such as</w:t>
      </w:r>
      <w:r w:rsidR="00932A15">
        <w:t xml:space="preserve"> 1000 bulbs, </w:t>
      </w:r>
      <w:proofErr w:type="spellStart"/>
      <w:r w:rsidR="00932A15">
        <w:t>BeesLighting</w:t>
      </w:r>
      <w:proofErr w:type="spellEnd"/>
      <w:r w:rsidR="00932A15">
        <w:t>, Amazon, Bulbs.com, Top Bulbs, Pro Lighting, and Grainger websites</w:t>
      </w:r>
      <w:r w:rsidR="00C73993">
        <w:t xml:space="preserve"> in the second quarter of 2020</w:t>
      </w:r>
      <w:r w:rsidR="00A3494C">
        <w:t xml:space="preserve">. </w:t>
      </w:r>
      <w:r w:rsidR="00353945">
        <w:t xml:space="preserve">The average cost of the collected Type A and Dual Mode LED T8 lamps with efficacies near the measure case LED efficacy </w:t>
      </w:r>
      <w:r w:rsidR="00837F60">
        <w:t>(14</w:t>
      </w:r>
      <w:r w:rsidR="00FD735E">
        <w:t>5</w:t>
      </w:r>
      <w:r w:rsidR="00837F60">
        <w:t xml:space="preserve"> to 1</w:t>
      </w:r>
      <w:r w:rsidR="00FD735E">
        <w:t>50</w:t>
      </w:r>
      <w:r w:rsidR="00837F60">
        <w:t xml:space="preserve"> LPW) </w:t>
      </w:r>
      <w:r w:rsidR="00353945">
        <w:t xml:space="preserve">is used for the material cost. </w:t>
      </w:r>
      <w:r w:rsidR="00837F60">
        <w:rPr>
          <w:rStyle w:val="FootnoteReference"/>
        </w:rPr>
        <w:footnoteReference w:id="31"/>
      </w:r>
    </w:p>
    <w:p w14:paraId="48BBCB12" w14:textId="7EE7BD9F" w:rsidR="00461489" w:rsidRDefault="00461489" w:rsidP="00932A15"/>
    <w:p w14:paraId="2AFC7184" w14:textId="48A61C1F" w:rsidR="00932A15" w:rsidRPr="004B06E3" w:rsidRDefault="00932A15" w:rsidP="00932A15">
      <w:pPr>
        <w:pStyle w:val="eTRMHeading3"/>
      </w:pPr>
      <w:bookmarkStart w:id="76" w:name="_Toc40948501"/>
      <w:r>
        <w:t xml:space="preserve">Base Case </w:t>
      </w:r>
      <w:r w:rsidRPr="004B06E3">
        <w:t>Labor Cost ($/unit)</w:t>
      </w:r>
      <w:bookmarkEnd w:id="76"/>
    </w:p>
    <w:p w14:paraId="1B6273AD" w14:textId="45F6E4AA" w:rsidR="00932A15" w:rsidRDefault="00AB50F7" w:rsidP="00932A15">
      <w:r>
        <w:t xml:space="preserve">The base case installation </w:t>
      </w:r>
      <w:r w:rsidR="00A3494C">
        <w:t xml:space="preserve">labor </w:t>
      </w:r>
      <w:r>
        <w:t xml:space="preserve">cost is assumed to equal the </w:t>
      </w:r>
      <w:r w:rsidR="00A3494C">
        <w:t>measure case installation labor cost. See Measure Case Labor Cost.</w:t>
      </w:r>
    </w:p>
    <w:p w14:paraId="4FC1EDE3" w14:textId="77777777" w:rsidR="00191E1B" w:rsidRDefault="00191E1B" w:rsidP="00932A15"/>
    <w:p w14:paraId="676A5232" w14:textId="42912C11" w:rsidR="007D230B" w:rsidRPr="004B06E3" w:rsidRDefault="00932A15" w:rsidP="00462BB6">
      <w:pPr>
        <w:pStyle w:val="eTRMHeading3"/>
      </w:pPr>
      <w:bookmarkStart w:id="77" w:name="_Toc486490862"/>
      <w:bookmarkStart w:id="78" w:name="_Toc486580933"/>
      <w:bookmarkStart w:id="79" w:name="_Toc40948502"/>
      <w:r>
        <w:t xml:space="preserve">Measure Case </w:t>
      </w:r>
      <w:r w:rsidR="007D230B" w:rsidRPr="004B06E3">
        <w:t>Labor Cost ($/unit)</w:t>
      </w:r>
      <w:bookmarkEnd w:id="77"/>
      <w:bookmarkEnd w:id="78"/>
      <w:bookmarkEnd w:id="79"/>
    </w:p>
    <w:p w14:paraId="00C91C88" w14:textId="74C9ADBC" w:rsidR="00932A15" w:rsidRDefault="00932A15" w:rsidP="00932A15">
      <w:r>
        <w:t xml:space="preserve">Labor costs </w:t>
      </w:r>
      <w:r w:rsidR="00EB38B0">
        <w:t xml:space="preserve">are </w:t>
      </w:r>
      <w:r>
        <w:t xml:space="preserve">based upon </w:t>
      </w:r>
      <w:r w:rsidR="00B51786">
        <w:t>the replacement hours for a</w:t>
      </w:r>
      <w:r>
        <w:t xml:space="preserve"> 4</w:t>
      </w:r>
      <w:r w:rsidR="00191E1B">
        <w:t>-</w:t>
      </w:r>
      <w:r>
        <w:t>f</w:t>
      </w:r>
      <w:r w:rsidR="00191E1B">
        <w:t>oo</w:t>
      </w:r>
      <w:r>
        <w:t>t T8 LED tube from</w:t>
      </w:r>
      <w:r w:rsidR="00A3494C">
        <w:t xml:space="preserve"> the</w:t>
      </w:r>
      <w:r>
        <w:t xml:space="preserve"> RSMeans 20</w:t>
      </w:r>
      <w:r w:rsidR="00B51786">
        <w:t>20</w:t>
      </w:r>
      <w:r>
        <w:t xml:space="preserve"> online cost database</w:t>
      </w:r>
      <w:r w:rsidR="00C73CF9">
        <w:t xml:space="preserve"> (item </w:t>
      </w:r>
      <w:r w:rsidR="00C73CF9" w:rsidRPr="00A3494C">
        <w:t>266123558100</w:t>
      </w:r>
      <w:r w:rsidR="00C73CF9">
        <w:t>)</w:t>
      </w:r>
      <w:r w:rsidR="00AB50F7">
        <w:t>.</w:t>
      </w:r>
      <w:r>
        <w:rPr>
          <w:rStyle w:val="FootnoteReference"/>
        </w:rPr>
        <w:footnoteReference w:id="32"/>
      </w:r>
      <w:r>
        <w:t xml:space="preserve"> </w:t>
      </w:r>
      <w:r w:rsidR="00B51786">
        <w:t xml:space="preserve">The </w:t>
      </w:r>
      <w:r w:rsidR="0040697D">
        <w:t xml:space="preserve">RSMeans 2020 </w:t>
      </w:r>
      <w:r w:rsidR="00B51786">
        <w:t xml:space="preserve">hourly labor rate </w:t>
      </w:r>
      <w:r w:rsidR="00E012C4">
        <w:t>for a common building laborer</w:t>
      </w:r>
      <w:r w:rsidR="0040697D">
        <w:rPr>
          <w:rStyle w:val="FootnoteReference"/>
        </w:rPr>
        <w:footnoteReference w:id="33"/>
      </w:r>
      <w:r w:rsidR="00E012C4">
        <w:t xml:space="preserve"> was used to calculate the labor cost for this measure</w:t>
      </w:r>
      <w:r w:rsidR="00B51786">
        <w:t xml:space="preserve">. </w:t>
      </w:r>
      <w:r w:rsidRPr="003A4249">
        <w:t xml:space="preserve">The incremental labor cost for </w:t>
      </w:r>
      <w:r>
        <w:t>Type A (“plug and play”) T</w:t>
      </w:r>
      <w:r w:rsidRPr="003A4249">
        <w:t>LED lamps for all other delivery types is assumed to equal to $0.</w:t>
      </w:r>
    </w:p>
    <w:p w14:paraId="5756FD15" w14:textId="77777777" w:rsidR="005D2E2C" w:rsidRPr="004B06E3" w:rsidRDefault="005D2E2C" w:rsidP="004142EF"/>
    <w:p w14:paraId="3F37FEF2" w14:textId="77777777" w:rsidR="007D230B" w:rsidRPr="004B06E3" w:rsidRDefault="004B06E3" w:rsidP="00462BB6">
      <w:pPr>
        <w:pStyle w:val="eTRMHeading3"/>
      </w:pPr>
      <w:bookmarkStart w:id="80" w:name="_Toc486490863"/>
      <w:bookmarkStart w:id="81" w:name="_Toc486580934"/>
      <w:bookmarkStart w:id="82" w:name="_Toc40948503"/>
      <w:r>
        <w:t>Net-to-Gross</w:t>
      </w:r>
      <w:bookmarkEnd w:id="80"/>
      <w:bookmarkEnd w:id="81"/>
      <w:r w:rsidR="008D4652">
        <w:t xml:space="preserve"> (NTG)</w:t>
      </w:r>
      <w:bookmarkEnd w:id="82"/>
    </w:p>
    <w:p w14:paraId="623C6E77" w14:textId="7F4BB0DB" w:rsidR="007846BA" w:rsidRDefault="00AA3E2A" w:rsidP="007846BA">
      <w:r w:rsidRPr="00860FEC">
        <w:t xml:space="preserve">The net-to-gross (NTG) ratio represents the portion of gross impacts that are determined to be directly attributed to a specific program intervention. </w:t>
      </w:r>
      <w:r w:rsidR="0031558D" w:rsidRPr="00AF3038">
        <w:t>The</w:t>
      </w:r>
      <w:r w:rsidR="0031558D">
        <w:t xml:space="preserve"> default</w:t>
      </w:r>
      <w:r w:rsidR="0031558D" w:rsidRPr="00AF3038">
        <w:t xml:space="preserve"> NTG values are based upon the average of all NTG ratios for all evaluated 2006 – 2008 </w:t>
      </w:r>
      <w:r w:rsidR="0031558D">
        <w:t xml:space="preserve">residential and </w:t>
      </w:r>
      <w:r w:rsidR="0031558D" w:rsidRPr="00AF3038">
        <w:t xml:space="preserve">commercial programs, as documented in the 2011 DEER Update Study conducted by </w:t>
      </w:r>
      <w:proofErr w:type="spellStart"/>
      <w:r w:rsidR="0031558D" w:rsidRPr="00AF3038">
        <w:t>Itron</w:t>
      </w:r>
      <w:proofErr w:type="spellEnd"/>
      <w:r w:rsidR="0031558D" w:rsidRPr="00AF3038">
        <w:t xml:space="preserve">, Inc. These sector average NTGs are applicable </w:t>
      </w:r>
      <w:r w:rsidR="0031558D">
        <w:t xml:space="preserve">to </w:t>
      </w:r>
      <w:r w:rsidR="0031558D" w:rsidRPr="00AF3038">
        <w:t xml:space="preserve">all energy </w:t>
      </w:r>
      <w:r w:rsidR="0031558D" w:rsidRPr="00AF3038">
        <w:lastRenderedPageBreak/>
        <w:t xml:space="preserve">efficiency measures that have been offered </w:t>
      </w:r>
      <w:r w:rsidR="0031558D">
        <w:t>through</w:t>
      </w:r>
      <w:r w:rsidR="0031558D" w:rsidRPr="00AF3038">
        <w:t xml:space="preserve"> </w:t>
      </w:r>
      <w:r w:rsidR="0031558D">
        <w:t xml:space="preserve">residential and </w:t>
      </w:r>
      <w:r w:rsidR="0031558D" w:rsidRPr="00AF3038">
        <w:t xml:space="preserve">commercial </w:t>
      </w:r>
      <w:r w:rsidR="0031558D">
        <w:t xml:space="preserve">sector </w:t>
      </w:r>
      <w:r w:rsidR="0031558D" w:rsidRPr="00AF3038">
        <w:t>programs for more than two years and for which impact evaluation results are not available.</w:t>
      </w:r>
      <w:r w:rsidR="0031558D" w:rsidRPr="00765218">
        <w:t> </w:t>
      </w:r>
    </w:p>
    <w:p w14:paraId="583882C6" w14:textId="284CA091" w:rsidR="00DE1A0F" w:rsidRPr="006D071D" w:rsidRDefault="00DE1A0F">
      <w:pPr>
        <w:pStyle w:val="Caption"/>
      </w:pPr>
      <w:r w:rsidRPr="006D071D">
        <w:t>Net-to-Gross Ratios</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340"/>
        <w:gridCol w:w="2160"/>
        <w:gridCol w:w="4950"/>
      </w:tblGrid>
      <w:tr w:rsidR="003E10B3" w:rsidRPr="003E10B3" w14:paraId="34A1EC2E" w14:textId="77777777" w:rsidTr="003E10B3">
        <w:trPr>
          <w:cantSplit/>
          <w:trHeight w:val="20"/>
        </w:trPr>
        <w:tc>
          <w:tcPr>
            <w:tcW w:w="2340" w:type="dxa"/>
            <w:shd w:val="clear" w:color="000000" w:fill="F2F2F2" w:themeFill="background1" w:themeFillShade="F2"/>
            <w:vAlign w:val="bottom"/>
          </w:tcPr>
          <w:p w14:paraId="0AFDC35E" w14:textId="77777777" w:rsidR="00AA3E2A" w:rsidRPr="003E10B3" w:rsidRDefault="007846BA" w:rsidP="003E10B3">
            <w:pPr>
              <w:keepNext/>
              <w:keepLines/>
              <w:spacing w:before="0" w:after="0" w:line="200" w:lineRule="atLeast"/>
              <w:jc w:val="center"/>
              <w:rPr>
                <w:rFonts w:cs="Arial"/>
                <w:b/>
                <w:sz w:val="20"/>
                <w:szCs w:val="20"/>
              </w:rPr>
            </w:pPr>
            <w:r w:rsidRPr="003E10B3">
              <w:rPr>
                <w:rFonts w:cs="Arial"/>
                <w:b/>
                <w:sz w:val="20"/>
                <w:szCs w:val="20"/>
              </w:rPr>
              <w:t>Parameter</w:t>
            </w:r>
          </w:p>
        </w:tc>
        <w:tc>
          <w:tcPr>
            <w:tcW w:w="2160" w:type="dxa"/>
            <w:shd w:val="clear" w:color="000000" w:fill="F2F2F2" w:themeFill="background1" w:themeFillShade="F2"/>
            <w:vAlign w:val="bottom"/>
          </w:tcPr>
          <w:p w14:paraId="443CB408" w14:textId="77777777" w:rsidR="00AA3E2A" w:rsidRPr="003E10B3" w:rsidRDefault="00461489" w:rsidP="003E10B3">
            <w:pPr>
              <w:keepNext/>
              <w:keepLines/>
              <w:spacing w:before="0" w:after="0" w:line="200" w:lineRule="atLeast"/>
              <w:jc w:val="center"/>
              <w:rPr>
                <w:rFonts w:cs="Arial"/>
                <w:b/>
                <w:sz w:val="20"/>
                <w:szCs w:val="20"/>
              </w:rPr>
            </w:pPr>
            <w:r w:rsidRPr="003E10B3">
              <w:rPr>
                <w:rFonts w:cs="Arial"/>
                <w:b/>
                <w:sz w:val="20"/>
                <w:szCs w:val="20"/>
              </w:rPr>
              <w:t>Value</w:t>
            </w:r>
          </w:p>
        </w:tc>
        <w:tc>
          <w:tcPr>
            <w:tcW w:w="4950" w:type="dxa"/>
            <w:shd w:val="clear" w:color="000000" w:fill="F2F2F2" w:themeFill="background1" w:themeFillShade="F2"/>
          </w:tcPr>
          <w:p w14:paraId="67D36A4D" w14:textId="77777777" w:rsidR="00AA3E2A" w:rsidRPr="003E10B3" w:rsidRDefault="00AA3E2A" w:rsidP="003E10B3">
            <w:pPr>
              <w:keepNext/>
              <w:keepLines/>
              <w:spacing w:before="0" w:after="0" w:line="200" w:lineRule="atLeast"/>
              <w:jc w:val="center"/>
              <w:rPr>
                <w:rFonts w:cs="Arial"/>
                <w:b/>
                <w:sz w:val="20"/>
                <w:szCs w:val="20"/>
              </w:rPr>
            </w:pPr>
            <w:r w:rsidRPr="003E10B3">
              <w:rPr>
                <w:rFonts w:cs="Arial"/>
                <w:b/>
                <w:sz w:val="20"/>
                <w:szCs w:val="20"/>
              </w:rPr>
              <w:t>Source</w:t>
            </w:r>
          </w:p>
        </w:tc>
      </w:tr>
      <w:tr w:rsidR="003E10B3" w:rsidRPr="003E10B3" w14:paraId="115F1FE1" w14:textId="77777777" w:rsidTr="003E10B3">
        <w:trPr>
          <w:cantSplit/>
          <w:trHeight w:val="20"/>
        </w:trPr>
        <w:tc>
          <w:tcPr>
            <w:tcW w:w="2340" w:type="dxa"/>
            <w:vAlign w:val="center"/>
          </w:tcPr>
          <w:p w14:paraId="42EE833E" w14:textId="5AE042F3" w:rsidR="007E5052" w:rsidRPr="003E10B3" w:rsidRDefault="007E5052" w:rsidP="003E10B3">
            <w:pPr>
              <w:keepNext/>
              <w:keepLines/>
              <w:spacing w:before="0" w:after="0" w:line="200" w:lineRule="atLeast"/>
              <w:rPr>
                <w:rFonts w:cstheme="minorHAnsi"/>
                <w:sz w:val="20"/>
                <w:szCs w:val="20"/>
              </w:rPr>
            </w:pPr>
            <w:r w:rsidRPr="003E10B3">
              <w:rPr>
                <w:sz w:val="20"/>
                <w:szCs w:val="20"/>
              </w:rPr>
              <w:t>NTG – commercial</w:t>
            </w:r>
            <w:r w:rsidR="009F0A1B" w:rsidRPr="003E10B3">
              <w:rPr>
                <w:sz w:val="20"/>
                <w:szCs w:val="20"/>
              </w:rPr>
              <w:t xml:space="preserve"> </w:t>
            </w:r>
          </w:p>
        </w:tc>
        <w:tc>
          <w:tcPr>
            <w:tcW w:w="2160" w:type="dxa"/>
            <w:shd w:val="clear" w:color="auto" w:fill="auto"/>
            <w:noWrap/>
            <w:vAlign w:val="center"/>
          </w:tcPr>
          <w:p w14:paraId="532DB5E4" w14:textId="267930CD" w:rsidR="007E5052" w:rsidRPr="003E10B3" w:rsidRDefault="007E5052" w:rsidP="003E10B3">
            <w:pPr>
              <w:keepNext/>
              <w:keepLines/>
              <w:spacing w:before="0" w:after="0" w:line="200" w:lineRule="atLeast"/>
              <w:jc w:val="center"/>
              <w:rPr>
                <w:sz w:val="20"/>
                <w:szCs w:val="20"/>
              </w:rPr>
            </w:pPr>
            <w:r w:rsidRPr="003E10B3">
              <w:rPr>
                <w:sz w:val="20"/>
                <w:szCs w:val="20"/>
              </w:rPr>
              <w:t>0.60</w:t>
            </w:r>
          </w:p>
        </w:tc>
        <w:tc>
          <w:tcPr>
            <w:tcW w:w="4950" w:type="dxa"/>
            <w:vMerge w:val="restart"/>
            <w:vAlign w:val="center"/>
          </w:tcPr>
          <w:p w14:paraId="1BA7D9E6" w14:textId="77777777" w:rsidR="007E5052" w:rsidRPr="003E10B3" w:rsidRDefault="007E5052" w:rsidP="003E10B3">
            <w:pPr>
              <w:keepNext/>
              <w:keepLines/>
              <w:spacing w:before="0" w:after="0" w:line="200" w:lineRule="atLeast"/>
              <w:rPr>
                <w:sz w:val="20"/>
                <w:szCs w:val="20"/>
                <w:highlight w:val="yellow"/>
              </w:rPr>
            </w:pPr>
            <w:proofErr w:type="spellStart"/>
            <w:r w:rsidRPr="003E10B3">
              <w:rPr>
                <w:sz w:val="18"/>
              </w:rPr>
              <w:t>Itron</w:t>
            </w:r>
            <w:proofErr w:type="spellEnd"/>
            <w:r w:rsidRPr="003E10B3">
              <w:rPr>
                <w:sz w:val="18"/>
              </w:rPr>
              <w:t xml:space="preserve">, Inc. 2011. </w:t>
            </w:r>
            <w:r w:rsidRPr="003E10B3">
              <w:rPr>
                <w:i/>
                <w:sz w:val="18"/>
              </w:rPr>
              <w:t>DEER Database 2011 Update Documentation.</w:t>
            </w:r>
            <w:r w:rsidRPr="003E10B3">
              <w:rPr>
                <w:sz w:val="18"/>
              </w:rPr>
              <w:t xml:space="preserve"> Prepared for the California Public Utilities Commission. Page 15-4 Table 15-3.</w:t>
            </w:r>
          </w:p>
        </w:tc>
      </w:tr>
      <w:tr w:rsidR="003E10B3" w:rsidRPr="003E10B3" w14:paraId="41279440" w14:textId="77777777" w:rsidTr="003E10B3">
        <w:trPr>
          <w:cantSplit/>
          <w:trHeight w:val="20"/>
        </w:trPr>
        <w:tc>
          <w:tcPr>
            <w:tcW w:w="2340" w:type="dxa"/>
            <w:vAlign w:val="center"/>
          </w:tcPr>
          <w:p w14:paraId="23439113" w14:textId="68754FB9" w:rsidR="00A63599" w:rsidRPr="003E10B3" w:rsidRDefault="00A63599" w:rsidP="003E10B3">
            <w:pPr>
              <w:keepNext/>
              <w:keepLines/>
              <w:spacing w:before="0" w:after="0" w:line="200" w:lineRule="atLeast"/>
              <w:rPr>
                <w:sz w:val="20"/>
                <w:szCs w:val="20"/>
              </w:rPr>
            </w:pPr>
            <w:r w:rsidRPr="003E10B3">
              <w:rPr>
                <w:sz w:val="20"/>
                <w:szCs w:val="20"/>
              </w:rPr>
              <w:t xml:space="preserve">NTG – industrial </w:t>
            </w:r>
          </w:p>
        </w:tc>
        <w:tc>
          <w:tcPr>
            <w:tcW w:w="2160" w:type="dxa"/>
            <w:shd w:val="clear" w:color="auto" w:fill="auto"/>
            <w:noWrap/>
            <w:vAlign w:val="center"/>
          </w:tcPr>
          <w:p w14:paraId="722140DE" w14:textId="4F479FB6" w:rsidR="00A63599" w:rsidRPr="003E10B3" w:rsidRDefault="00A63599" w:rsidP="003E10B3">
            <w:pPr>
              <w:keepNext/>
              <w:keepLines/>
              <w:spacing w:before="0" w:after="0" w:line="200" w:lineRule="atLeast"/>
              <w:jc w:val="center"/>
              <w:rPr>
                <w:sz w:val="20"/>
                <w:szCs w:val="20"/>
              </w:rPr>
            </w:pPr>
            <w:r w:rsidRPr="003E10B3">
              <w:rPr>
                <w:sz w:val="20"/>
                <w:szCs w:val="20"/>
              </w:rPr>
              <w:t>0.60</w:t>
            </w:r>
          </w:p>
        </w:tc>
        <w:tc>
          <w:tcPr>
            <w:tcW w:w="4950" w:type="dxa"/>
            <w:vMerge/>
            <w:vAlign w:val="center"/>
          </w:tcPr>
          <w:p w14:paraId="00C282FB" w14:textId="77777777" w:rsidR="00A63599" w:rsidRPr="003E10B3" w:rsidRDefault="00A63599" w:rsidP="003E10B3">
            <w:pPr>
              <w:keepNext/>
              <w:keepLines/>
              <w:spacing w:before="0" w:after="0" w:line="200" w:lineRule="atLeast"/>
              <w:rPr>
                <w:sz w:val="18"/>
              </w:rPr>
            </w:pPr>
          </w:p>
        </w:tc>
      </w:tr>
      <w:tr w:rsidR="003E10B3" w:rsidRPr="003E10B3" w14:paraId="72AF69B6" w14:textId="77777777" w:rsidTr="003E10B3">
        <w:trPr>
          <w:cantSplit/>
          <w:trHeight w:val="20"/>
        </w:trPr>
        <w:tc>
          <w:tcPr>
            <w:tcW w:w="2340" w:type="dxa"/>
            <w:vAlign w:val="center"/>
          </w:tcPr>
          <w:p w14:paraId="409E464B" w14:textId="7780582D" w:rsidR="00A63599" w:rsidRPr="003E10B3" w:rsidRDefault="00A63599" w:rsidP="003E10B3">
            <w:pPr>
              <w:keepNext/>
              <w:keepLines/>
              <w:spacing w:before="0" w:after="0" w:line="200" w:lineRule="atLeast"/>
              <w:rPr>
                <w:sz w:val="20"/>
                <w:szCs w:val="20"/>
              </w:rPr>
            </w:pPr>
            <w:r w:rsidRPr="003E10B3">
              <w:rPr>
                <w:sz w:val="20"/>
                <w:szCs w:val="20"/>
              </w:rPr>
              <w:t xml:space="preserve">NTG – agriculture </w:t>
            </w:r>
          </w:p>
        </w:tc>
        <w:tc>
          <w:tcPr>
            <w:tcW w:w="2160" w:type="dxa"/>
            <w:shd w:val="clear" w:color="auto" w:fill="auto"/>
            <w:noWrap/>
            <w:vAlign w:val="center"/>
          </w:tcPr>
          <w:p w14:paraId="12FB8A2F" w14:textId="640A2AAB" w:rsidR="00A63599" w:rsidRPr="003E10B3" w:rsidRDefault="00A63599" w:rsidP="003E10B3">
            <w:pPr>
              <w:keepNext/>
              <w:keepLines/>
              <w:spacing w:before="0" w:after="0" w:line="200" w:lineRule="atLeast"/>
              <w:jc w:val="center"/>
              <w:rPr>
                <w:sz w:val="20"/>
                <w:szCs w:val="20"/>
              </w:rPr>
            </w:pPr>
            <w:r w:rsidRPr="003E10B3">
              <w:rPr>
                <w:sz w:val="20"/>
                <w:szCs w:val="20"/>
              </w:rPr>
              <w:t>0.60</w:t>
            </w:r>
          </w:p>
        </w:tc>
        <w:tc>
          <w:tcPr>
            <w:tcW w:w="4950" w:type="dxa"/>
            <w:vMerge/>
            <w:vAlign w:val="center"/>
          </w:tcPr>
          <w:p w14:paraId="56F0E5DE" w14:textId="77777777" w:rsidR="00A63599" w:rsidRPr="003E10B3" w:rsidRDefault="00A63599" w:rsidP="003E10B3">
            <w:pPr>
              <w:keepNext/>
              <w:keepLines/>
              <w:spacing w:before="0" w:after="0" w:line="200" w:lineRule="atLeast"/>
              <w:rPr>
                <w:sz w:val="18"/>
              </w:rPr>
            </w:pPr>
          </w:p>
        </w:tc>
      </w:tr>
      <w:tr w:rsidR="003E10B3" w:rsidRPr="003E10B3" w14:paraId="7A0972C0" w14:textId="77777777" w:rsidTr="003E10B3">
        <w:trPr>
          <w:cantSplit/>
          <w:trHeight w:val="20"/>
        </w:trPr>
        <w:tc>
          <w:tcPr>
            <w:tcW w:w="2340" w:type="dxa"/>
            <w:vAlign w:val="center"/>
          </w:tcPr>
          <w:p w14:paraId="4AB5DDDF" w14:textId="11C3ACBD" w:rsidR="007E5052" w:rsidRPr="003E10B3" w:rsidRDefault="007E5052" w:rsidP="003E10B3">
            <w:pPr>
              <w:keepNext/>
              <w:keepLines/>
              <w:spacing w:before="0" w:after="0" w:line="200" w:lineRule="atLeast"/>
              <w:rPr>
                <w:sz w:val="20"/>
                <w:szCs w:val="20"/>
              </w:rPr>
            </w:pPr>
            <w:r w:rsidRPr="003E10B3">
              <w:rPr>
                <w:sz w:val="20"/>
                <w:szCs w:val="20"/>
              </w:rPr>
              <w:t>NTG – residential</w:t>
            </w:r>
            <w:r w:rsidR="009F0A1B" w:rsidRPr="003E10B3">
              <w:rPr>
                <w:sz w:val="20"/>
                <w:szCs w:val="20"/>
              </w:rPr>
              <w:t xml:space="preserve"> </w:t>
            </w:r>
          </w:p>
        </w:tc>
        <w:tc>
          <w:tcPr>
            <w:tcW w:w="2160" w:type="dxa"/>
            <w:shd w:val="clear" w:color="auto" w:fill="auto"/>
            <w:noWrap/>
            <w:vAlign w:val="center"/>
          </w:tcPr>
          <w:p w14:paraId="3E0DA29B" w14:textId="0132F9E8" w:rsidR="007E5052" w:rsidRPr="003E10B3" w:rsidRDefault="007E5052" w:rsidP="003E10B3">
            <w:pPr>
              <w:keepNext/>
              <w:keepLines/>
              <w:spacing w:before="0" w:after="0" w:line="200" w:lineRule="atLeast"/>
              <w:jc w:val="center"/>
              <w:rPr>
                <w:sz w:val="20"/>
                <w:szCs w:val="20"/>
              </w:rPr>
            </w:pPr>
            <w:r w:rsidRPr="003E10B3">
              <w:rPr>
                <w:sz w:val="20"/>
                <w:szCs w:val="20"/>
              </w:rPr>
              <w:t>0.55</w:t>
            </w:r>
          </w:p>
        </w:tc>
        <w:tc>
          <w:tcPr>
            <w:tcW w:w="4950" w:type="dxa"/>
            <w:vMerge/>
            <w:vAlign w:val="center"/>
          </w:tcPr>
          <w:p w14:paraId="2C23F20C" w14:textId="77777777" w:rsidR="007E5052" w:rsidRPr="003E10B3" w:rsidRDefault="007E5052" w:rsidP="003E10B3">
            <w:pPr>
              <w:keepNext/>
              <w:keepLines/>
              <w:spacing w:before="0" w:after="0" w:line="200" w:lineRule="atLeast"/>
              <w:rPr>
                <w:sz w:val="18"/>
              </w:rPr>
            </w:pPr>
          </w:p>
        </w:tc>
      </w:tr>
    </w:tbl>
    <w:p w14:paraId="0956AD9E" w14:textId="77777777" w:rsidR="007D230B" w:rsidRPr="004B06E3" w:rsidRDefault="007D230B" w:rsidP="004142EF"/>
    <w:p w14:paraId="5D4F46AF" w14:textId="77777777" w:rsidR="007D230B" w:rsidRDefault="00D02C36" w:rsidP="00462BB6">
      <w:pPr>
        <w:pStyle w:val="eTRMHeading3"/>
      </w:pPr>
      <w:bookmarkStart w:id="83" w:name="_Toc486490864"/>
      <w:bookmarkStart w:id="84" w:name="_Toc486580935"/>
      <w:bookmarkStart w:id="85" w:name="_Toc40948504"/>
      <w:r>
        <w:t>Gross Savings Installation Adjustment (</w:t>
      </w:r>
      <w:r w:rsidR="007D230B" w:rsidRPr="004B06E3">
        <w:t>GSIA</w:t>
      </w:r>
      <w:bookmarkEnd w:id="83"/>
      <w:bookmarkEnd w:id="84"/>
      <w:r>
        <w:t>)</w:t>
      </w:r>
      <w:bookmarkEnd w:id="85"/>
    </w:p>
    <w:p w14:paraId="4557A1EF" w14:textId="32CE572A" w:rsidR="00814B07" w:rsidRPr="006D071D" w:rsidRDefault="00AA3E2A" w:rsidP="00814B07">
      <w:pPr>
        <w:rPr>
          <w:b/>
          <w:sz w:val="20"/>
          <w:szCs w:val="20"/>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r w:rsidR="00E33C5E">
        <w:t>This “default” GSIA rate for measures for which an alternative GSIA has not been estimated and approved.</w:t>
      </w:r>
    </w:p>
    <w:p w14:paraId="4DEC190D" w14:textId="1AC681D7" w:rsidR="00DE1A0F" w:rsidRPr="006D071D" w:rsidRDefault="00814B07">
      <w:pPr>
        <w:pStyle w:val="Caption"/>
        <w:rPr>
          <w:szCs w:val="20"/>
        </w:rPr>
      </w:pPr>
      <w:r>
        <w:t xml:space="preserve">Gross Savings Installation Adjustment Rate </w:t>
      </w:r>
    </w:p>
    <w:tbl>
      <w:tblPr>
        <w:tblW w:w="957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560"/>
        <w:gridCol w:w="1525"/>
        <w:gridCol w:w="6485"/>
      </w:tblGrid>
      <w:tr w:rsidR="00814B07" w:rsidRPr="006D071D" w14:paraId="6FD7C945" w14:textId="77777777" w:rsidTr="00C34085">
        <w:trPr>
          <w:cantSplit/>
          <w:trHeight w:val="20"/>
        </w:trPr>
        <w:tc>
          <w:tcPr>
            <w:tcW w:w="815" w:type="pct"/>
            <w:shd w:val="clear" w:color="000000" w:fill="F2F2F2" w:themeFill="background1" w:themeFillShade="F2"/>
            <w:vAlign w:val="bottom"/>
          </w:tcPr>
          <w:p w14:paraId="7589EFA5" w14:textId="77777777" w:rsidR="00AA3E2A" w:rsidRPr="006D071D" w:rsidRDefault="00814B07" w:rsidP="00BA3D7D">
            <w:pPr>
              <w:spacing w:before="0" w:after="0" w:line="200" w:lineRule="atLeast"/>
              <w:jc w:val="center"/>
              <w:rPr>
                <w:rFonts w:cs="Arial"/>
                <w:b/>
                <w:color w:val="000000"/>
                <w:sz w:val="20"/>
                <w:szCs w:val="20"/>
              </w:rPr>
            </w:pPr>
            <w:r>
              <w:rPr>
                <w:rFonts w:cs="Arial"/>
                <w:b/>
                <w:color w:val="000000"/>
                <w:sz w:val="20"/>
                <w:szCs w:val="20"/>
              </w:rPr>
              <w:t>Parameter</w:t>
            </w:r>
          </w:p>
        </w:tc>
        <w:tc>
          <w:tcPr>
            <w:tcW w:w="797" w:type="pct"/>
            <w:shd w:val="clear" w:color="000000" w:fill="F2F2F2" w:themeFill="background1" w:themeFillShade="F2"/>
            <w:vAlign w:val="center"/>
          </w:tcPr>
          <w:p w14:paraId="47BB8AAC" w14:textId="77777777" w:rsidR="00AA3E2A" w:rsidRPr="006D071D" w:rsidRDefault="00814B07" w:rsidP="006D6644">
            <w:pPr>
              <w:spacing w:before="0" w:after="0" w:line="200" w:lineRule="atLeast"/>
              <w:jc w:val="center"/>
              <w:rPr>
                <w:rFonts w:cs="Arial"/>
                <w:b/>
                <w:color w:val="000000"/>
                <w:sz w:val="20"/>
                <w:szCs w:val="20"/>
              </w:rPr>
            </w:pPr>
            <w:r>
              <w:rPr>
                <w:rFonts w:cs="Arial"/>
                <w:b/>
                <w:sz w:val="20"/>
                <w:szCs w:val="20"/>
              </w:rPr>
              <w:t>Value</w:t>
            </w:r>
            <w:r w:rsidR="00AA3E2A" w:rsidRPr="006D071D">
              <w:rPr>
                <w:rFonts w:cs="Arial"/>
                <w:b/>
                <w:sz w:val="20"/>
                <w:szCs w:val="20"/>
              </w:rPr>
              <w:t xml:space="preserve"> </w:t>
            </w:r>
          </w:p>
        </w:tc>
        <w:tc>
          <w:tcPr>
            <w:tcW w:w="3388" w:type="pct"/>
            <w:shd w:val="clear" w:color="000000" w:fill="F2F2F2" w:themeFill="background1" w:themeFillShade="F2"/>
          </w:tcPr>
          <w:p w14:paraId="00C3BA89" w14:textId="77777777" w:rsidR="00AA3E2A" w:rsidRPr="006D071D" w:rsidRDefault="00AA3E2A" w:rsidP="006D6644">
            <w:pPr>
              <w:spacing w:before="0" w:after="0" w:line="200" w:lineRule="atLeast"/>
              <w:jc w:val="center"/>
              <w:rPr>
                <w:rFonts w:cs="Arial"/>
                <w:b/>
                <w:sz w:val="20"/>
                <w:szCs w:val="20"/>
              </w:rPr>
            </w:pPr>
            <w:r w:rsidRPr="006D071D">
              <w:rPr>
                <w:rFonts w:cs="Arial"/>
                <w:b/>
                <w:sz w:val="20"/>
                <w:szCs w:val="20"/>
              </w:rPr>
              <w:t>Source</w:t>
            </w:r>
          </w:p>
        </w:tc>
      </w:tr>
      <w:tr w:rsidR="00814B07" w:rsidRPr="006D071D" w14:paraId="57CCBEA1" w14:textId="77777777" w:rsidTr="00C34085">
        <w:trPr>
          <w:cantSplit/>
          <w:trHeight w:val="20"/>
        </w:trPr>
        <w:tc>
          <w:tcPr>
            <w:tcW w:w="815" w:type="pct"/>
          </w:tcPr>
          <w:p w14:paraId="4451626A" w14:textId="6FE1F099" w:rsidR="00814B07" w:rsidRPr="006D071D" w:rsidRDefault="00814B07" w:rsidP="00DB4188">
            <w:pPr>
              <w:rPr>
                <w:sz w:val="20"/>
                <w:szCs w:val="20"/>
              </w:rPr>
            </w:pPr>
            <w:r>
              <w:rPr>
                <w:sz w:val="20"/>
                <w:szCs w:val="20"/>
              </w:rPr>
              <w:t>GSIA</w:t>
            </w:r>
            <w:r w:rsidR="00E33C5E">
              <w:rPr>
                <w:sz w:val="20"/>
                <w:szCs w:val="20"/>
              </w:rPr>
              <w:t xml:space="preserve"> - default</w:t>
            </w:r>
          </w:p>
        </w:tc>
        <w:tc>
          <w:tcPr>
            <w:tcW w:w="797" w:type="pct"/>
            <w:vAlign w:val="center"/>
          </w:tcPr>
          <w:p w14:paraId="013955C0" w14:textId="77777777" w:rsidR="00814B07" w:rsidRPr="003E10B3" w:rsidRDefault="00814B07" w:rsidP="00BA3D7D">
            <w:pPr>
              <w:spacing w:before="0" w:after="0" w:line="200" w:lineRule="atLeast"/>
              <w:jc w:val="center"/>
              <w:rPr>
                <w:sz w:val="20"/>
                <w:szCs w:val="20"/>
              </w:rPr>
            </w:pPr>
            <w:r w:rsidRPr="003E10B3">
              <w:rPr>
                <w:sz w:val="20"/>
                <w:szCs w:val="20"/>
              </w:rPr>
              <w:t>1.0</w:t>
            </w:r>
          </w:p>
        </w:tc>
        <w:tc>
          <w:tcPr>
            <w:tcW w:w="3388" w:type="pct"/>
            <w:vAlign w:val="center"/>
          </w:tcPr>
          <w:p w14:paraId="0F9B670B" w14:textId="77777777" w:rsidR="00814B07" w:rsidRPr="003E10B3" w:rsidRDefault="00814B07" w:rsidP="00814B07">
            <w:pPr>
              <w:spacing w:before="0" w:after="0" w:line="200" w:lineRule="atLeast"/>
              <w:rPr>
                <w:sz w:val="20"/>
                <w:szCs w:val="20"/>
              </w:rPr>
            </w:pPr>
            <w:r w:rsidRPr="003E10B3">
              <w:rPr>
                <w:rFonts w:eastAsia="Times New Roman" w:cs="Times New Roman"/>
                <w:sz w:val="18"/>
                <w:szCs w:val="18"/>
              </w:rPr>
              <w:t xml:space="preserve">California Public Utilities Commission (CPUC), Energy Division. 2013. </w:t>
            </w:r>
            <w:r w:rsidRPr="003E10B3">
              <w:rPr>
                <w:rFonts w:eastAsia="Times New Roman" w:cs="Times New Roman"/>
                <w:i/>
                <w:sz w:val="18"/>
                <w:szCs w:val="18"/>
              </w:rPr>
              <w:t>Energy Efficiency Policy Manual Version 5</w:t>
            </w:r>
            <w:r w:rsidRPr="003E10B3">
              <w:rPr>
                <w:rFonts w:eastAsia="Times New Roman" w:cs="Times New Roman"/>
                <w:sz w:val="18"/>
                <w:szCs w:val="18"/>
              </w:rPr>
              <w:t>. Page 31.</w:t>
            </w:r>
          </w:p>
        </w:tc>
      </w:tr>
    </w:tbl>
    <w:p w14:paraId="64B9FD37" w14:textId="77777777" w:rsidR="00DE1A0F" w:rsidRDefault="00DE1A0F" w:rsidP="00DE1A0F">
      <w:pPr>
        <w:rPr>
          <w:rFonts w:cs="Arial"/>
          <w:sz w:val="20"/>
          <w:szCs w:val="20"/>
        </w:rPr>
      </w:pPr>
    </w:p>
    <w:p w14:paraId="4E341D84" w14:textId="77777777" w:rsidR="00814B07" w:rsidRPr="004B06E3" w:rsidRDefault="00814B07" w:rsidP="00814B07">
      <w:pPr>
        <w:pStyle w:val="eTRMHeading3"/>
      </w:pPr>
      <w:bookmarkStart w:id="86" w:name="_Toc486490865"/>
      <w:bookmarkStart w:id="87" w:name="_Toc486580936"/>
      <w:bookmarkStart w:id="88" w:name="_Toc494369270"/>
      <w:bookmarkStart w:id="89" w:name="_Toc501094705"/>
      <w:bookmarkStart w:id="90" w:name="_Toc40948505"/>
      <w:r w:rsidRPr="004B06E3">
        <w:t xml:space="preserve">Non-Energy </w:t>
      </w:r>
      <w:bookmarkEnd w:id="86"/>
      <w:bookmarkEnd w:id="87"/>
      <w:bookmarkEnd w:id="88"/>
      <w:r>
        <w:t>Impacts</w:t>
      </w:r>
      <w:bookmarkEnd w:id="89"/>
      <w:bookmarkEnd w:id="90"/>
    </w:p>
    <w:p w14:paraId="405D386E" w14:textId="39EDC03C" w:rsidR="00814B07" w:rsidRDefault="009F4120" w:rsidP="00814B07">
      <w:r>
        <w:t>The n</w:t>
      </w:r>
      <w:r w:rsidR="00814B07">
        <w:t xml:space="preserve">on-energy impacts </w:t>
      </w:r>
      <w:r>
        <w:t>of</w:t>
      </w:r>
      <w:r w:rsidR="00814B07">
        <w:t xml:space="preserve"> this measure have not been quantified.</w:t>
      </w:r>
    </w:p>
    <w:p w14:paraId="534AA7E1" w14:textId="77777777" w:rsidR="002C67DF" w:rsidRDefault="002C67DF" w:rsidP="004142EF"/>
    <w:p w14:paraId="72174D5C" w14:textId="77777777" w:rsidR="009C31A4" w:rsidRPr="004B06E3" w:rsidRDefault="009C31A4" w:rsidP="00462BB6">
      <w:pPr>
        <w:pStyle w:val="eTRMHeading3"/>
      </w:pPr>
      <w:bookmarkStart w:id="91" w:name="_Toc40948506"/>
      <w:r>
        <w:t>DEER Differences Analysis</w:t>
      </w:r>
      <w:bookmarkEnd w:id="91"/>
    </w:p>
    <w:p w14:paraId="02FFAE79" w14:textId="5E2D7DD4" w:rsidR="002C67DF" w:rsidRDefault="003F21D2" w:rsidP="004142EF">
      <w:r>
        <w:t>This section provides a summary of inputs and methods</w:t>
      </w:r>
      <w:r w:rsidR="00011572">
        <w:t xml:space="preserve"> based upon the Database for Energy Efficient Resources (DEER)</w:t>
      </w:r>
      <w:r>
        <w:t>, and the rationale for inputs and methods that are not DEER-based.</w:t>
      </w:r>
    </w:p>
    <w:p w14:paraId="25D508BD" w14:textId="4C6FCAE7" w:rsidR="00EA057C" w:rsidRPr="00920905" w:rsidRDefault="00EA057C">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31795DC4" w14:textId="77777777" w:rsidTr="003E10B3">
        <w:trPr>
          <w:trHeight w:val="20"/>
          <w:tblHeader/>
        </w:trPr>
        <w:tc>
          <w:tcPr>
            <w:tcW w:w="1730" w:type="pct"/>
            <w:shd w:val="clear" w:color="auto" w:fill="F2F2F2" w:themeFill="background1" w:themeFillShade="F2"/>
          </w:tcPr>
          <w:p w14:paraId="78BCF7A7" w14:textId="77777777" w:rsidR="00EA057C" w:rsidRPr="00EA057C" w:rsidRDefault="00EA057C" w:rsidP="003E10B3">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0475ACF8" w14:textId="77777777" w:rsidR="00EA057C" w:rsidRPr="00EA057C" w:rsidRDefault="00EA057C" w:rsidP="003E10B3">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EA057C" w:rsidRPr="00500C4E" w14:paraId="7F8D96CE" w14:textId="77777777" w:rsidTr="00EA057C">
        <w:trPr>
          <w:trHeight w:val="20"/>
        </w:trPr>
        <w:tc>
          <w:tcPr>
            <w:tcW w:w="1730" w:type="pct"/>
          </w:tcPr>
          <w:p w14:paraId="180F0079" w14:textId="77777777" w:rsidR="00EA057C" w:rsidRPr="00EA057C" w:rsidRDefault="00EA057C" w:rsidP="003E10B3">
            <w:pPr>
              <w:spacing w:before="20" w:after="20"/>
              <w:rPr>
                <w:rFonts w:cs="Arial"/>
                <w:sz w:val="20"/>
                <w:szCs w:val="20"/>
              </w:rPr>
            </w:pPr>
            <w:r w:rsidRPr="00EA057C">
              <w:rPr>
                <w:rFonts w:cs="Arial"/>
                <w:sz w:val="20"/>
                <w:szCs w:val="20"/>
              </w:rPr>
              <w:t>Modified DEER methodology</w:t>
            </w:r>
          </w:p>
        </w:tc>
        <w:tc>
          <w:tcPr>
            <w:tcW w:w="3270" w:type="pct"/>
          </w:tcPr>
          <w:p w14:paraId="1291D463" w14:textId="77777777" w:rsidR="00EA057C" w:rsidRPr="00461489" w:rsidRDefault="00B658F8" w:rsidP="003E10B3">
            <w:pPr>
              <w:spacing w:before="20" w:after="20"/>
              <w:rPr>
                <w:rFonts w:cs="Arial"/>
                <w:sz w:val="20"/>
                <w:szCs w:val="20"/>
              </w:rPr>
            </w:pPr>
            <w:r w:rsidRPr="00461489">
              <w:rPr>
                <w:rFonts w:cs="Arial"/>
                <w:sz w:val="20"/>
                <w:szCs w:val="20"/>
              </w:rPr>
              <w:t>No</w:t>
            </w:r>
          </w:p>
        </w:tc>
      </w:tr>
      <w:tr w:rsidR="00EA057C" w:rsidRPr="00500C4E" w14:paraId="66DA5019" w14:textId="77777777" w:rsidTr="00EA057C">
        <w:trPr>
          <w:trHeight w:val="20"/>
        </w:trPr>
        <w:tc>
          <w:tcPr>
            <w:tcW w:w="1730" w:type="pct"/>
          </w:tcPr>
          <w:p w14:paraId="75DF498E" w14:textId="77777777" w:rsidR="00EA057C" w:rsidRPr="00EA057C" w:rsidRDefault="00EA057C" w:rsidP="003E10B3">
            <w:pPr>
              <w:spacing w:before="20" w:after="20"/>
              <w:rPr>
                <w:rFonts w:cs="Arial"/>
                <w:sz w:val="20"/>
                <w:szCs w:val="20"/>
              </w:rPr>
            </w:pPr>
            <w:r w:rsidRPr="00EA057C">
              <w:rPr>
                <w:rFonts w:cs="Arial"/>
                <w:sz w:val="20"/>
                <w:szCs w:val="20"/>
              </w:rPr>
              <w:t>Scaled DEER measure</w:t>
            </w:r>
          </w:p>
        </w:tc>
        <w:tc>
          <w:tcPr>
            <w:tcW w:w="3270" w:type="pct"/>
          </w:tcPr>
          <w:p w14:paraId="1215BC02" w14:textId="77777777" w:rsidR="00EA057C" w:rsidRPr="00461489" w:rsidRDefault="00B658F8" w:rsidP="003E10B3">
            <w:pPr>
              <w:spacing w:before="20" w:after="20"/>
              <w:rPr>
                <w:rFonts w:cs="Arial"/>
                <w:sz w:val="20"/>
                <w:szCs w:val="20"/>
              </w:rPr>
            </w:pPr>
            <w:r w:rsidRPr="00461489">
              <w:rPr>
                <w:rFonts w:cs="Arial"/>
                <w:sz w:val="20"/>
                <w:szCs w:val="20"/>
              </w:rPr>
              <w:t>Yes</w:t>
            </w:r>
          </w:p>
        </w:tc>
      </w:tr>
      <w:tr w:rsidR="00EA057C" w:rsidRPr="00500C4E" w14:paraId="4E55A329" w14:textId="77777777" w:rsidTr="00EA057C">
        <w:trPr>
          <w:trHeight w:val="20"/>
        </w:trPr>
        <w:tc>
          <w:tcPr>
            <w:tcW w:w="1730" w:type="pct"/>
          </w:tcPr>
          <w:p w14:paraId="603FB1D6" w14:textId="77777777" w:rsidR="00EA057C" w:rsidRPr="00EA057C" w:rsidRDefault="00EA057C" w:rsidP="003E10B3">
            <w:pPr>
              <w:spacing w:before="20" w:after="20"/>
              <w:rPr>
                <w:rFonts w:cs="Arial"/>
                <w:sz w:val="20"/>
                <w:szCs w:val="20"/>
              </w:rPr>
            </w:pPr>
            <w:r w:rsidRPr="00EA057C">
              <w:rPr>
                <w:rFonts w:cs="Arial"/>
                <w:sz w:val="20"/>
                <w:szCs w:val="20"/>
              </w:rPr>
              <w:t>DEER Base Case</w:t>
            </w:r>
          </w:p>
        </w:tc>
        <w:tc>
          <w:tcPr>
            <w:tcW w:w="3270" w:type="pct"/>
          </w:tcPr>
          <w:p w14:paraId="06964805" w14:textId="77777777" w:rsidR="00EA057C" w:rsidRPr="00461489" w:rsidRDefault="00B658F8" w:rsidP="003E10B3">
            <w:pPr>
              <w:spacing w:before="20" w:after="20"/>
              <w:rPr>
                <w:rFonts w:cs="Arial"/>
                <w:sz w:val="20"/>
                <w:szCs w:val="20"/>
              </w:rPr>
            </w:pPr>
            <w:r w:rsidRPr="00461489">
              <w:rPr>
                <w:rFonts w:cs="Arial"/>
                <w:sz w:val="20"/>
                <w:szCs w:val="20"/>
              </w:rPr>
              <w:t>No</w:t>
            </w:r>
          </w:p>
        </w:tc>
      </w:tr>
      <w:tr w:rsidR="00EA057C" w:rsidRPr="00500C4E" w14:paraId="1C49C15C" w14:textId="77777777" w:rsidTr="00EA057C">
        <w:trPr>
          <w:trHeight w:val="20"/>
        </w:trPr>
        <w:tc>
          <w:tcPr>
            <w:tcW w:w="1730" w:type="pct"/>
          </w:tcPr>
          <w:p w14:paraId="46613057" w14:textId="77777777" w:rsidR="00EA057C" w:rsidRPr="00EA057C" w:rsidRDefault="00EA057C" w:rsidP="003E10B3">
            <w:pPr>
              <w:spacing w:before="20" w:after="20"/>
              <w:rPr>
                <w:rFonts w:cs="Arial"/>
                <w:sz w:val="20"/>
                <w:szCs w:val="20"/>
              </w:rPr>
            </w:pPr>
            <w:r w:rsidRPr="00EA057C">
              <w:rPr>
                <w:rFonts w:cs="Arial"/>
                <w:sz w:val="20"/>
                <w:szCs w:val="20"/>
              </w:rPr>
              <w:t>DEER Measure Case</w:t>
            </w:r>
          </w:p>
        </w:tc>
        <w:tc>
          <w:tcPr>
            <w:tcW w:w="3270" w:type="pct"/>
          </w:tcPr>
          <w:p w14:paraId="19884848" w14:textId="77777777" w:rsidR="00EA057C" w:rsidRPr="00461489" w:rsidRDefault="00B658F8" w:rsidP="003E10B3">
            <w:pPr>
              <w:spacing w:before="20" w:after="20"/>
              <w:rPr>
                <w:rFonts w:cs="Arial"/>
                <w:sz w:val="20"/>
                <w:szCs w:val="20"/>
              </w:rPr>
            </w:pPr>
            <w:r w:rsidRPr="00461489">
              <w:rPr>
                <w:rFonts w:cs="Arial"/>
                <w:sz w:val="20"/>
                <w:szCs w:val="20"/>
              </w:rPr>
              <w:t>No</w:t>
            </w:r>
          </w:p>
        </w:tc>
      </w:tr>
      <w:tr w:rsidR="00EA057C" w:rsidRPr="00500C4E" w14:paraId="4DD5F2CA" w14:textId="77777777" w:rsidTr="00EA057C">
        <w:trPr>
          <w:trHeight w:val="20"/>
        </w:trPr>
        <w:tc>
          <w:tcPr>
            <w:tcW w:w="1730" w:type="pct"/>
          </w:tcPr>
          <w:p w14:paraId="548B99AC" w14:textId="77777777" w:rsidR="00EA057C" w:rsidRPr="00EA057C" w:rsidRDefault="00EA057C" w:rsidP="003E10B3">
            <w:pPr>
              <w:spacing w:before="20" w:after="20"/>
              <w:rPr>
                <w:rFonts w:cs="Arial"/>
                <w:sz w:val="20"/>
                <w:szCs w:val="20"/>
              </w:rPr>
            </w:pPr>
            <w:r w:rsidRPr="00EA057C">
              <w:rPr>
                <w:rFonts w:cs="Arial"/>
                <w:sz w:val="20"/>
                <w:szCs w:val="20"/>
              </w:rPr>
              <w:t>DEER Building Types</w:t>
            </w:r>
          </w:p>
        </w:tc>
        <w:tc>
          <w:tcPr>
            <w:tcW w:w="3270" w:type="pct"/>
          </w:tcPr>
          <w:p w14:paraId="0A933E9E" w14:textId="77777777" w:rsidR="00EA057C" w:rsidRPr="00461489" w:rsidRDefault="00B658F8" w:rsidP="003E10B3">
            <w:pPr>
              <w:spacing w:before="20" w:after="20"/>
              <w:rPr>
                <w:rFonts w:cs="Arial"/>
                <w:sz w:val="20"/>
                <w:szCs w:val="20"/>
              </w:rPr>
            </w:pPr>
            <w:r w:rsidRPr="00461489">
              <w:rPr>
                <w:rFonts w:cs="Arial"/>
                <w:sz w:val="20"/>
                <w:szCs w:val="20"/>
              </w:rPr>
              <w:t>Yes</w:t>
            </w:r>
          </w:p>
        </w:tc>
      </w:tr>
      <w:tr w:rsidR="00EA057C" w:rsidRPr="00500C4E" w14:paraId="4EBF8E37" w14:textId="77777777" w:rsidTr="00EA057C">
        <w:trPr>
          <w:trHeight w:val="20"/>
        </w:trPr>
        <w:tc>
          <w:tcPr>
            <w:tcW w:w="1730" w:type="pct"/>
          </w:tcPr>
          <w:p w14:paraId="23CFFC7C" w14:textId="77777777" w:rsidR="00EA057C" w:rsidRPr="00EA057C" w:rsidRDefault="00EA057C" w:rsidP="003E10B3">
            <w:pPr>
              <w:spacing w:before="20" w:after="20"/>
              <w:rPr>
                <w:rFonts w:cs="Arial"/>
                <w:sz w:val="20"/>
                <w:szCs w:val="20"/>
              </w:rPr>
            </w:pPr>
            <w:r w:rsidRPr="00EA057C">
              <w:rPr>
                <w:rFonts w:cs="Arial"/>
                <w:sz w:val="20"/>
                <w:szCs w:val="20"/>
              </w:rPr>
              <w:t>DEER Operating Hours</w:t>
            </w:r>
          </w:p>
        </w:tc>
        <w:tc>
          <w:tcPr>
            <w:tcW w:w="3270" w:type="pct"/>
          </w:tcPr>
          <w:p w14:paraId="7D15F75C" w14:textId="77777777" w:rsidR="00EA057C" w:rsidRPr="00461489" w:rsidRDefault="00B658F8" w:rsidP="003E10B3">
            <w:pPr>
              <w:spacing w:before="20" w:after="20"/>
              <w:rPr>
                <w:rFonts w:cs="Arial"/>
                <w:sz w:val="20"/>
                <w:szCs w:val="20"/>
              </w:rPr>
            </w:pPr>
            <w:r w:rsidRPr="00461489">
              <w:rPr>
                <w:rFonts w:cs="Arial"/>
                <w:sz w:val="20"/>
                <w:szCs w:val="20"/>
              </w:rPr>
              <w:t>Yes</w:t>
            </w:r>
          </w:p>
        </w:tc>
      </w:tr>
      <w:tr w:rsidR="00EA057C" w:rsidRPr="00500C4E" w14:paraId="63D65691" w14:textId="77777777" w:rsidTr="00EA057C">
        <w:trPr>
          <w:trHeight w:val="20"/>
        </w:trPr>
        <w:tc>
          <w:tcPr>
            <w:tcW w:w="1730" w:type="pct"/>
          </w:tcPr>
          <w:p w14:paraId="25BFAF52" w14:textId="77777777" w:rsidR="00EA057C" w:rsidRPr="00EA057C" w:rsidRDefault="00EA057C" w:rsidP="003E10B3">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5B5A060" w14:textId="77777777" w:rsidR="00EA057C" w:rsidRPr="00461489" w:rsidDel="00505CEC" w:rsidRDefault="00B658F8" w:rsidP="003E10B3">
            <w:pPr>
              <w:spacing w:before="20" w:after="20"/>
              <w:rPr>
                <w:rFonts w:cs="Arial"/>
                <w:sz w:val="20"/>
                <w:szCs w:val="20"/>
              </w:rPr>
            </w:pPr>
            <w:r w:rsidRPr="00461489">
              <w:rPr>
                <w:rFonts w:cs="Arial"/>
                <w:sz w:val="20"/>
                <w:szCs w:val="20"/>
              </w:rPr>
              <w:t>No</w:t>
            </w:r>
          </w:p>
        </w:tc>
      </w:tr>
      <w:tr w:rsidR="00EA057C" w:rsidRPr="00500C4E" w14:paraId="322F528C" w14:textId="77777777" w:rsidTr="00EA057C">
        <w:trPr>
          <w:trHeight w:val="180"/>
        </w:trPr>
        <w:tc>
          <w:tcPr>
            <w:tcW w:w="1730" w:type="pct"/>
          </w:tcPr>
          <w:p w14:paraId="30C3F4C2" w14:textId="77777777" w:rsidR="00EA057C" w:rsidRPr="00EA057C" w:rsidRDefault="00EA057C" w:rsidP="003E10B3">
            <w:pPr>
              <w:spacing w:before="20" w:after="20"/>
              <w:rPr>
                <w:rFonts w:cs="Arial"/>
                <w:sz w:val="20"/>
                <w:szCs w:val="20"/>
              </w:rPr>
            </w:pPr>
            <w:r w:rsidRPr="00EA057C">
              <w:rPr>
                <w:rFonts w:cs="Arial"/>
                <w:sz w:val="20"/>
                <w:szCs w:val="20"/>
              </w:rPr>
              <w:t>DEER Version</w:t>
            </w:r>
          </w:p>
        </w:tc>
        <w:tc>
          <w:tcPr>
            <w:tcW w:w="3270" w:type="pct"/>
          </w:tcPr>
          <w:p w14:paraId="68918885" w14:textId="77777777" w:rsidR="00EA057C" w:rsidRPr="00461489" w:rsidRDefault="00B658F8" w:rsidP="003E10B3">
            <w:pPr>
              <w:spacing w:before="20" w:after="20"/>
              <w:rPr>
                <w:rFonts w:cs="Arial"/>
                <w:sz w:val="20"/>
                <w:szCs w:val="20"/>
              </w:rPr>
            </w:pPr>
            <w:r w:rsidRPr="00461489">
              <w:rPr>
                <w:rFonts w:cs="Arial"/>
                <w:sz w:val="20"/>
                <w:szCs w:val="20"/>
              </w:rPr>
              <w:t>Non-DEER</w:t>
            </w:r>
          </w:p>
        </w:tc>
      </w:tr>
      <w:tr w:rsidR="00EA057C" w:rsidRPr="00500C4E" w14:paraId="29843974" w14:textId="77777777" w:rsidTr="00EA057C">
        <w:trPr>
          <w:trHeight w:val="20"/>
        </w:trPr>
        <w:tc>
          <w:tcPr>
            <w:tcW w:w="1730" w:type="pct"/>
          </w:tcPr>
          <w:p w14:paraId="5C7EA4D7" w14:textId="77777777" w:rsidR="00EA057C" w:rsidRPr="00EA057C" w:rsidRDefault="00EA057C" w:rsidP="003E10B3">
            <w:pPr>
              <w:spacing w:before="20" w:after="20"/>
              <w:rPr>
                <w:rFonts w:cs="Arial"/>
                <w:sz w:val="20"/>
                <w:szCs w:val="20"/>
              </w:rPr>
            </w:pPr>
            <w:r w:rsidRPr="00EA057C">
              <w:rPr>
                <w:rFonts w:cs="Arial"/>
                <w:sz w:val="20"/>
                <w:szCs w:val="20"/>
              </w:rPr>
              <w:t>Reason for Deviation from DEER</w:t>
            </w:r>
          </w:p>
        </w:tc>
        <w:tc>
          <w:tcPr>
            <w:tcW w:w="3270" w:type="pct"/>
          </w:tcPr>
          <w:p w14:paraId="0186C019" w14:textId="77777777" w:rsidR="00EA057C" w:rsidRPr="00461489" w:rsidRDefault="00B658F8" w:rsidP="003E10B3">
            <w:pPr>
              <w:spacing w:before="20" w:after="20"/>
              <w:rPr>
                <w:rFonts w:cs="Arial"/>
                <w:sz w:val="20"/>
                <w:szCs w:val="20"/>
              </w:rPr>
            </w:pPr>
            <w:r w:rsidRPr="00461489">
              <w:rPr>
                <w:rFonts w:cs="Arial"/>
                <w:sz w:val="20"/>
                <w:szCs w:val="20"/>
              </w:rPr>
              <w:t>DEER does not contain this type of measure</w:t>
            </w:r>
          </w:p>
        </w:tc>
      </w:tr>
      <w:tr w:rsidR="00EA057C" w:rsidRPr="00500C4E" w14:paraId="7E44FF3B" w14:textId="77777777" w:rsidTr="00EA057C">
        <w:trPr>
          <w:trHeight w:val="20"/>
        </w:trPr>
        <w:tc>
          <w:tcPr>
            <w:tcW w:w="1730" w:type="pct"/>
          </w:tcPr>
          <w:p w14:paraId="509CDDB9" w14:textId="77777777" w:rsidR="00EA057C" w:rsidRPr="00EA057C" w:rsidRDefault="00EA057C" w:rsidP="003E10B3">
            <w:pPr>
              <w:spacing w:before="20" w:after="20"/>
              <w:rPr>
                <w:rFonts w:cs="Arial"/>
                <w:sz w:val="20"/>
                <w:szCs w:val="20"/>
              </w:rPr>
            </w:pPr>
            <w:r w:rsidRPr="00EA057C">
              <w:rPr>
                <w:rFonts w:cs="Arial"/>
                <w:sz w:val="20"/>
                <w:szCs w:val="20"/>
              </w:rPr>
              <w:t>DEER Measure IDs Used</w:t>
            </w:r>
          </w:p>
        </w:tc>
        <w:tc>
          <w:tcPr>
            <w:tcW w:w="3270" w:type="pct"/>
          </w:tcPr>
          <w:p w14:paraId="2CF2EB98" w14:textId="02690099" w:rsidR="00EA057C" w:rsidRPr="00461489" w:rsidRDefault="0068523B" w:rsidP="003E10B3">
            <w:pPr>
              <w:spacing w:before="20" w:after="20"/>
              <w:rPr>
                <w:rFonts w:cs="Arial"/>
                <w:sz w:val="20"/>
                <w:szCs w:val="20"/>
              </w:rPr>
            </w:pPr>
            <w:r>
              <w:rPr>
                <w:rFonts w:cs="Arial"/>
                <w:sz w:val="20"/>
                <w:szCs w:val="20"/>
              </w:rPr>
              <w:t>n/a</w:t>
            </w:r>
          </w:p>
        </w:tc>
      </w:tr>
      <w:tr w:rsidR="00EA057C" w:rsidRPr="00500C4E" w14:paraId="51AA6188" w14:textId="77777777" w:rsidTr="00EA057C">
        <w:trPr>
          <w:trHeight w:val="20"/>
        </w:trPr>
        <w:tc>
          <w:tcPr>
            <w:tcW w:w="1730" w:type="pct"/>
          </w:tcPr>
          <w:p w14:paraId="3800728B" w14:textId="77777777" w:rsidR="00EA057C" w:rsidRPr="00EA057C" w:rsidRDefault="00EA057C" w:rsidP="003E10B3">
            <w:pPr>
              <w:spacing w:before="20" w:after="20"/>
              <w:rPr>
                <w:rFonts w:cs="Arial"/>
                <w:sz w:val="20"/>
                <w:szCs w:val="20"/>
              </w:rPr>
            </w:pPr>
            <w:r>
              <w:rPr>
                <w:rFonts w:cs="Arial"/>
                <w:sz w:val="20"/>
                <w:szCs w:val="20"/>
              </w:rPr>
              <w:lastRenderedPageBreak/>
              <w:t>NTG</w:t>
            </w:r>
          </w:p>
        </w:tc>
        <w:tc>
          <w:tcPr>
            <w:tcW w:w="3270" w:type="pct"/>
          </w:tcPr>
          <w:p w14:paraId="04371EEF" w14:textId="0A841675" w:rsidR="00EA057C" w:rsidRPr="00EA057C" w:rsidRDefault="007E5052" w:rsidP="003E10B3">
            <w:pPr>
              <w:spacing w:before="20" w:after="20"/>
              <w:rPr>
                <w:rFonts w:cs="Arial"/>
                <w:sz w:val="20"/>
                <w:szCs w:val="20"/>
              </w:rPr>
            </w:pPr>
            <w:r>
              <w:rPr>
                <w:rFonts w:cs="Arial"/>
                <w:sz w:val="20"/>
                <w:szCs w:val="20"/>
              </w:rPr>
              <w:t xml:space="preserve">Source: </w:t>
            </w:r>
            <w:r w:rsidR="00A63599">
              <w:rPr>
                <w:rFonts w:cs="Arial"/>
                <w:sz w:val="20"/>
                <w:szCs w:val="20"/>
              </w:rPr>
              <w:t xml:space="preserve">DEER. The NTG of 0.60 is associate with NTG IDs: </w:t>
            </w:r>
            <w:r w:rsidR="00A63599" w:rsidRPr="00A63599">
              <w:rPr>
                <w:rFonts w:cs="Arial"/>
                <w:i/>
                <w:sz w:val="20"/>
                <w:szCs w:val="20"/>
              </w:rPr>
              <w:t>Com-Default&gt;2yrs, Ind-Default&gt;2yrs, Ag-Default&gt;2yrs</w:t>
            </w:r>
            <w:r w:rsidR="00A63599">
              <w:rPr>
                <w:rFonts w:cs="Arial"/>
                <w:sz w:val="20"/>
                <w:szCs w:val="20"/>
              </w:rPr>
              <w:t xml:space="preserve">. The NTG of 0.55 is associated with NTG ID </w:t>
            </w:r>
            <w:r w:rsidR="00A63599" w:rsidRPr="00A63599">
              <w:rPr>
                <w:rFonts w:cs="Arial"/>
                <w:i/>
                <w:sz w:val="20"/>
                <w:szCs w:val="20"/>
              </w:rPr>
              <w:t>Res-Default&gt;2yrs</w:t>
            </w:r>
          </w:p>
        </w:tc>
      </w:tr>
      <w:tr w:rsidR="00EA057C" w:rsidRPr="00500C4E" w14:paraId="4923CF61" w14:textId="77777777" w:rsidTr="00EA057C">
        <w:trPr>
          <w:trHeight w:val="20"/>
        </w:trPr>
        <w:tc>
          <w:tcPr>
            <w:tcW w:w="1730" w:type="pct"/>
          </w:tcPr>
          <w:p w14:paraId="106C8CC7" w14:textId="77777777" w:rsidR="00EA057C" w:rsidRDefault="00EA057C" w:rsidP="003E10B3">
            <w:pPr>
              <w:spacing w:before="20" w:after="20"/>
              <w:rPr>
                <w:rFonts w:cs="Arial"/>
                <w:sz w:val="20"/>
                <w:szCs w:val="20"/>
              </w:rPr>
            </w:pPr>
            <w:r>
              <w:rPr>
                <w:rFonts w:cs="Arial"/>
                <w:sz w:val="20"/>
                <w:szCs w:val="20"/>
              </w:rPr>
              <w:t>GSIA</w:t>
            </w:r>
          </w:p>
        </w:tc>
        <w:tc>
          <w:tcPr>
            <w:tcW w:w="3270" w:type="pct"/>
          </w:tcPr>
          <w:p w14:paraId="2F617720" w14:textId="7CE4E6D7" w:rsidR="00EA057C" w:rsidRPr="00EA057C" w:rsidRDefault="0068523B" w:rsidP="003E10B3">
            <w:pPr>
              <w:spacing w:before="20" w:after="20"/>
              <w:rPr>
                <w:rFonts w:cs="Arial"/>
                <w:sz w:val="20"/>
                <w:szCs w:val="20"/>
              </w:rPr>
            </w:pPr>
            <w:r>
              <w:rPr>
                <w:rFonts w:cs="Arial"/>
                <w:sz w:val="20"/>
                <w:szCs w:val="20"/>
              </w:rPr>
              <w:t xml:space="preserve">Source: DEER. </w:t>
            </w:r>
            <w:r w:rsidR="005A74DC">
              <w:rPr>
                <w:rFonts w:cs="Arial"/>
                <w:sz w:val="20"/>
                <w:szCs w:val="20"/>
              </w:rPr>
              <w:t xml:space="preserve">The GSIA of </w:t>
            </w:r>
            <w:r w:rsidR="00461489">
              <w:rPr>
                <w:rFonts w:cs="Arial"/>
                <w:sz w:val="20"/>
                <w:szCs w:val="20"/>
              </w:rPr>
              <w:t>1.0</w:t>
            </w:r>
            <w:r w:rsidR="005A74DC">
              <w:rPr>
                <w:rFonts w:cs="Arial"/>
                <w:sz w:val="20"/>
                <w:szCs w:val="20"/>
              </w:rPr>
              <w:t xml:space="preserve"> is associated with GSIA ID: </w:t>
            </w:r>
            <w:r w:rsidR="00461489">
              <w:rPr>
                <w:rFonts w:cs="Arial"/>
                <w:i/>
                <w:sz w:val="20"/>
                <w:szCs w:val="20"/>
              </w:rPr>
              <w:t>Def-GSIA</w:t>
            </w:r>
          </w:p>
        </w:tc>
      </w:tr>
      <w:tr w:rsidR="00EA057C" w:rsidRPr="00500C4E" w14:paraId="715B27C4" w14:textId="77777777" w:rsidTr="00EA057C">
        <w:trPr>
          <w:trHeight w:val="20"/>
        </w:trPr>
        <w:tc>
          <w:tcPr>
            <w:tcW w:w="1730" w:type="pct"/>
          </w:tcPr>
          <w:p w14:paraId="7DD7A463" w14:textId="77777777" w:rsidR="00EA057C" w:rsidRDefault="00EA057C" w:rsidP="003E10B3">
            <w:pPr>
              <w:spacing w:before="20" w:after="20"/>
              <w:rPr>
                <w:rFonts w:cs="Arial"/>
                <w:sz w:val="20"/>
                <w:szCs w:val="20"/>
              </w:rPr>
            </w:pPr>
            <w:r>
              <w:rPr>
                <w:rFonts w:cs="Arial"/>
                <w:sz w:val="20"/>
                <w:szCs w:val="20"/>
              </w:rPr>
              <w:t>EUL/RUL</w:t>
            </w:r>
          </w:p>
        </w:tc>
        <w:tc>
          <w:tcPr>
            <w:tcW w:w="3270" w:type="pct"/>
          </w:tcPr>
          <w:p w14:paraId="34C46AE0" w14:textId="77777777" w:rsidR="00212ADB" w:rsidRPr="00212ADB" w:rsidRDefault="005A74DC" w:rsidP="003E10B3">
            <w:pPr>
              <w:spacing w:before="20" w:after="20"/>
              <w:rPr>
                <w:sz w:val="20"/>
                <w:szCs w:val="20"/>
              </w:rPr>
            </w:pPr>
            <w:r w:rsidRPr="00212ADB">
              <w:rPr>
                <w:rFonts w:cs="Arial"/>
                <w:sz w:val="20"/>
                <w:szCs w:val="20"/>
              </w:rPr>
              <w:t xml:space="preserve">Source: </w:t>
            </w:r>
            <w:r w:rsidR="00F40650" w:rsidRPr="00212ADB">
              <w:rPr>
                <w:rFonts w:cs="Arial"/>
                <w:sz w:val="20"/>
                <w:szCs w:val="20"/>
              </w:rPr>
              <w:t>DEER</w:t>
            </w:r>
            <w:r w:rsidR="00212ADB" w:rsidRPr="00212ADB">
              <w:rPr>
                <w:rFonts w:cs="Arial"/>
                <w:sz w:val="20"/>
                <w:szCs w:val="20"/>
              </w:rPr>
              <w:t>2014</w:t>
            </w:r>
            <w:r w:rsidRPr="00212ADB">
              <w:rPr>
                <w:rFonts w:cs="Arial"/>
                <w:sz w:val="20"/>
                <w:szCs w:val="20"/>
              </w:rPr>
              <w:t xml:space="preserve">. EUL ID: </w:t>
            </w:r>
            <w:proofErr w:type="spellStart"/>
            <w:r w:rsidR="00CC1F0C" w:rsidRPr="00212ADB">
              <w:rPr>
                <w:i/>
                <w:sz w:val="20"/>
                <w:szCs w:val="20"/>
              </w:rPr>
              <w:t>ILtg</w:t>
            </w:r>
            <w:proofErr w:type="spellEnd"/>
            <w:r w:rsidR="00CC1F0C" w:rsidRPr="00212ADB">
              <w:rPr>
                <w:i/>
                <w:sz w:val="20"/>
                <w:szCs w:val="20"/>
              </w:rPr>
              <w:t>-</w:t>
            </w:r>
            <w:proofErr w:type="spellStart"/>
            <w:r w:rsidR="00CC1F0C" w:rsidRPr="00212ADB">
              <w:rPr>
                <w:i/>
                <w:sz w:val="20"/>
                <w:szCs w:val="20"/>
              </w:rPr>
              <w:t>Lfluor</w:t>
            </w:r>
            <w:proofErr w:type="spellEnd"/>
            <w:r w:rsidR="00CC1F0C" w:rsidRPr="00212ADB">
              <w:rPr>
                <w:i/>
                <w:sz w:val="20"/>
                <w:szCs w:val="20"/>
              </w:rPr>
              <w:t>-Elec</w:t>
            </w:r>
            <w:r w:rsidR="00CC1F0C" w:rsidRPr="00212ADB">
              <w:rPr>
                <w:sz w:val="20"/>
                <w:szCs w:val="20"/>
              </w:rPr>
              <w:t xml:space="preserve"> is associated with</w:t>
            </w:r>
            <w:r w:rsidR="00CC1F0C" w:rsidRPr="00212ADB">
              <w:rPr>
                <w:i/>
                <w:sz w:val="20"/>
                <w:szCs w:val="20"/>
              </w:rPr>
              <w:t xml:space="preserve"> </w:t>
            </w:r>
            <w:r w:rsidR="00CC1F0C" w:rsidRPr="00212ADB">
              <w:rPr>
                <w:sz w:val="20"/>
                <w:szCs w:val="20"/>
              </w:rPr>
              <w:t xml:space="preserve">(70,000/HOU)/3 or the max of RUL value.  </w:t>
            </w:r>
          </w:p>
          <w:p w14:paraId="67EB6CD4" w14:textId="20EDE7E0" w:rsidR="00EA057C" w:rsidRPr="00212ADB" w:rsidRDefault="00212ADB" w:rsidP="003E10B3">
            <w:pPr>
              <w:spacing w:before="20" w:after="20"/>
              <w:rPr>
                <w:sz w:val="20"/>
                <w:szCs w:val="20"/>
              </w:rPr>
            </w:pPr>
            <w:r w:rsidRPr="00212ADB">
              <w:rPr>
                <w:rFonts w:cs="Arial"/>
                <w:sz w:val="20"/>
                <w:szCs w:val="20"/>
              </w:rPr>
              <w:t xml:space="preserve">Source: DEER2016. EUL ID: </w:t>
            </w:r>
            <w:proofErr w:type="spellStart"/>
            <w:r w:rsidR="00CC1F0C" w:rsidRPr="00212ADB">
              <w:rPr>
                <w:i/>
                <w:sz w:val="20"/>
                <w:szCs w:val="20"/>
              </w:rPr>
              <w:t>LtgFixture</w:t>
            </w:r>
            <w:proofErr w:type="spellEnd"/>
            <w:r w:rsidR="00CC1F0C" w:rsidRPr="00212ADB">
              <w:rPr>
                <w:i/>
                <w:sz w:val="20"/>
                <w:szCs w:val="20"/>
              </w:rPr>
              <w:t xml:space="preserve">-Default </w:t>
            </w:r>
            <w:r w:rsidR="00CC1F0C" w:rsidRPr="00212ADB">
              <w:rPr>
                <w:sz w:val="20"/>
                <w:szCs w:val="20"/>
              </w:rPr>
              <w:t>is associated with (70,000/HOU)/3 or the max of RUL value.</w:t>
            </w:r>
          </w:p>
          <w:p w14:paraId="7FA9CAFA" w14:textId="77777777" w:rsidR="00991C8D" w:rsidRPr="00212ADB" w:rsidRDefault="00991C8D" w:rsidP="003E10B3">
            <w:pPr>
              <w:spacing w:before="20" w:after="20"/>
              <w:rPr>
                <w:color w:val="191919" w:themeColor="text1"/>
                <w:sz w:val="20"/>
                <w:szCs w:val="20"/>
              </w:rPr>
            </w:pPr>
          </w:p>
          <w:p w14:paraId="54CA563C" w14:textId="796D0103" w:rsidR="00991C8D" w:rsidRPr="00212ADB" w:rsidRDefault="00991C8D" w:rsidP="003E10B3">
            <w:pPr>
              <w:spacing w:before="20" w:after="20"/>
              <w:rPr>
                <w:rFonts w:cs="Arial"/>
                <w:sz w:val="20"/>
                <w:szCs w:val="20"/>
              </w:rPr>
            </w:pPr>
            <w:r w:rsidRPr="00212ADB">
              <w:rPr>
                <w:color w:val="191919" w:themeColor="text1"/>
                <w:sz w:val="20"/>
                <w:szCs w:val="20"/>
              </w:rPr>
              <w:t xml:space="preserve">Ballast lifetime hours of use of 70,000 is the specified basis value in SupportTable_EUL_basis.csv </w:t>
            </w:r>
          </w:p>
        </w:tc>
      </w:tr>
    </w:tbl>
    <w:p w14:paraId="51118097" w14:textId="77777777" w:rsidR="00EA057C" w:rsidRDefault="00EA057C" w:rsidP="004142EF"/>
    <w:p w14:paraId="7610EB5F" w14:textId="77777777" w:rsidR="00C60494" w:rsidRDefault="00C60494" w:rsidP="00C60494">
      <w:pPr>
        <w:pStyle w:val="eTRMHeading3"/>
      </w:pPr>
      <w:bookmarkStart w:id="92" w:name="_Toc486490866"/>
      <w:bookmarkStart w:id="93" w:name="_Toc486580937"/>
      <w:bookmarkStart w:id="94" w:name="_Toc515951877"/>
      <w:bookmarkStart w:id="95" w:name="_Toc40948507"/>
      <w:bookmarkStart w:id="96" w:name="_Hlk516047558"/>
      <w:r w:rsidRPr="004B06E3">
        <w:lastRenderedPageBreak/>
        <w:t>Revision History</w:t>
      </w:r>
      <w:bookmarkEnd w:id="92"/>
      <w:bookmarkEnd w:id="93"/>
      <w:bookmarkEnd w:id="94"/>
      <w:bookmarkEnd w:id="95"/>
    </w:p>
    <w:p w14:paraId="0222956D" w14:textId="26CE2D0C" w:rsidR="00C60494" w:rsidRDefault="00C60494">
      <w:pPr>
        <w:pStyle w:val="Caption"/>
      </w:pPr>
      <w:bookmarkStart w:id="97"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754"/>
        <w:gridCol w:w="1891"/>
        <w:gridCol w:w="4765"/>
      </w:tblGrid>
      <w:tr w:rsidR="00C60494" w:rsidRPr="00500C4E" w14:paraId="51469482" w14:textId="77777777" w:rsidTr="00741981">
        <w:trPr>
          <w:trHeight w:val="20"/>
        </w:trPr>
        <w:tc>
          <w:tcPr>
            <w:tcW w:w="503" w:type="pct"/>
            <w:shd w:val="clear" w:color="auto" w:fill="F2F2F2" w:themeFill="background1" w:themeFillShade="F2"/>
            <w:vAlign w:val="bottom"/>
          </w:tcPr>
          <w:p w14:paraId="03CB1818" w14:textId="77777777" w:rsidR="00C60494" w:rsidRPr="00EA057C" w:rsidRDefault="00C60494" w:rsidP="00413DE5">
            <w:pPr>
              <w:keepNext/>
              <w:keepLines/>
              <w:tabs>
                <w:tab w:val="right" w:pos="2957"/>
              </w:tabs>
              <w:spacing w:before="20" w:after="20"/>
              <w:rPr>
                <w:rFonts w:cs="Arial"/>
                <w:b/>
                <w:sz w:val="20"/>
                <w:szCs w:val="20"/>
              </w:rPr>
            </w:pPr>
            <w:r>
              <w:rPr>
                <w:rFonts w:cs="Arial"/>
                <w:b/>
                <w:sz w:val="20"/>
                <w:szCs w:val="20"/>
              </w:rPr>
              <w:t>Revision Number</w:t>
            </w:r>
          </w:p>
        </w:tc>
        <w:tc>
          <w:tcPr>
            <w:tcW w:w="938" w:type="pct"/>
            <w:shd w:val="clear" w:color="auto" w:fill="F2F2F2" w:themeFill="background1" w:themeFillShade="F2"/>
            <w:vAlign w:val="bottom"/>
          </w:tcPr>
          <w:p w14:paraId="21680B9E" w14:textId="77CE6AB3" w:rsidR="00C60494" w:rsidRPr="00EA057C" w:rsidRDefault="00741981" w:rsidP="00413DE5">
            <w:pPr>
              <w:keepNext/>
              <w:keepLines/>
              <w:spacing w:before="20" w:after="20"/>
              <w:rPr>
                <w:rFonts w:cs="Arial"/>
                <w:b/>
                <w:sz w:val="20"/>
                <w:szCs w:val="20"/>
              </w:rPr>
            </w:pPr>
            <w:r>
              <w:rPr>
                <w:rFonts w:cs="Arial"/>
                <w:b/>
                <w:sz w:val="20"/>
                <w:szCs w:val="20"/>
              </w:rPr>
              <w:t xml:space="preserve">Revision Complete </w:t>
            </w:r>
            <w:r w:rsidR="00C60494">
              <w:rPr>
                <w:rFonts w:cs="Arial"/>
                <w:b/>
                <w:sz w:val="20"/>
                <w:szCs w:val="20"/>
              </w:rPr>
              <w:t>Date</w:t>
            </w:r>
          </w:p>
        </w:tc>
        <w:tc>
          <w:tcPr>
            <w:tcW w:w="1011" w:type="pct"/>
            <w:shd w:val="clear" w:color="auto" w:fill="F2F2F2" w:themeFill="background1" w:themeFillShade="F2"/>
            <w:vAlign w:val="bottom"/>
          </w:tcPr>
          <w:p w14:paraId="2F926E07" w14:textId="77777777" w:rsidR="00C60494" w:rsidRDefault="00C60494" w:rsidP="00413DE5">
            <w:pPr>
              <w:keepNext/>
              <w:keepLines/>
              <w:spacing w:before="20" w:after="20"/>
              <w:rPr>
                <w:rFonts w:cs="Arial"/>
                <w:b/>
                <w:sz w:val="20"/>
                <w:szCs w:val="20"/>
              </w:rPr>
            </w:pPr>
            <w:r>
              <w:rPr>
                <w:rFonts w:cs="Arial"/>
                <w:b/>
                <w:sz w:val="20"/>
                <w:szCs w:val="20"/>
              </w:rPr>
              <w:t>Primary Author, Title, Organization</w:t>
            </w:r>
          </w:p>
        </w:tc>
        <w:tc>
          <w:tcPr>
            <w:tcW w:w="2548" w:type="pct"/>
            <w:shd w:val="clear" w:color="auto" w:fill="F2F2F2" w:themeFill="background1" w:themeFillShade="F2"/>
            <w:vAlign w:val="bottom"/>
          </w:tcPr>
          <w:p w14:paraId="04DDEFD6" w14:textId="0AD3CC46" w:rsidR="00C60494" w:rsidRDefault="00C60494" w:rsidP="00413DE5">
            <w:pPr>
              <w:keepNext/>
              <w:keepLines/>
              <w:spacing w:before="20" w:after="20"/>
              <w:rPr>
                <w:rFonts w:cs="Arial"/>
                <w:b/>
                <w:sz w:val="20"/>
                <w:szCs w:val="20"/>
              </w:rPr>
            </w:pPr>
            <w:r>
              <w:rPr>
                <w:rFonts w:cs="Arial"/>
                <w:b/>
                <w:sz w:val="20"/>
                <w:szCs w:val="20"/>
              </w:rPr>
              <w:t>Revision Summary and Rationale for Revision</w:t>
            </w:r>
          </w:p>
        </w:tc>
      </w:tr>
      <w:tr w:rsidR="00C60494" w:rsidRPr="00CA1CB3" w14:paraId="56EBB0BA" w14:textId="77777777" w:rsidTr="00741981">
        <w:trPr>
          <w:trHeight w:val="20"/>
        </w:trPr>
        <w:tc>
          <w:tcPr>
            <w:tcW w:w="503" w:type="pct"/>
          </w:tcPr>
          <w:p w14:paraId="1BBC246B" w14:textId="77777777" w:rsidR="00C60494" w:rsidRPr="00CA1CB3" w:rsidRDefault="00C60494" w:rsidP="00413DE5">
            <w:pPr>
              <w:keepNext/>
              <w:keepLines/>
              <w:spacing w:before="20" w:after="20"/>
              <w:rPr>
                <w:rFonts w:cs="Arial"/>
                <w:sz w:val="20"/>
                <w:szCs w:val="20"/>
              </w:rPr>
            </w:pPr>
            <w:r w:rsidRPr="00CA1CB3">
              <w:rPr>
                <w:rFonts w:cs="Arial"/>
                <w:sz w:val="20"/>
                <w:szCs w:val="20"/>
              </w:rPr>
              <w:t>0</w:t>
            </w:r>
            <w:r>
              <w:rPr>
                <w:rFonts w:cs="Arial"/>
                <w:sz w:val="20"/>
                <w:szCs w:val="20"/>
              </w:rPr>
              <w:t>1</w:t>
            </w:r>
          </w:p>
        </w:tc>
        <w:tc>
          <w:tcPr>
            <w:tcW w:w="938" w:type="pct"/>
          </w:tcPr>
          <w:p w14:paraId="1BCDEF4B" w14:textId="028A03BC" w:rsidR="00C60494" w:rsidRPr="001307EF" w:rsidRDefault="001307EF" w:rsidP="00413DE5">
            <w:pPr>
              <w:keepNext/>
              <w:keepLines/>
              <w:spacing w:before="20" w:after="20"/>
              <w:rPr>
                <w:rFonts w:cs="Arial"/>
                <w:sz w:val="20"/>
                <w:szCs w:val="20"/>
              </w:rPr>
            </w:pPr>
            <w:r w:rsidRPr="001307EF">
              <w:rPr>
                <w:rFonts w:cs="Arial"/>
                <w:sz w:val="20"/>
                <w:szCs w:val="20"/>
              </w:rPr>
              <w:t>12/31/201</w:t>
            </w:r>
            <w:r w:rsidR="008552F7">
              <w:rPr>
                <w:rFonts w:cs="Arial"/>
                <w:sz w:val="20"/>
                <w:szCs w:val="20"/>
              </w:rPr>
              <w:t>7</w:t>
            </w:r>
          </w:p>
        </w:tc>
        <w:tc>
          <w:tcPr>
            <w:tcW w:w="1011" w:type="pct"/>
          </w:tcPr>
          <w:p w14:paraId="343FC08E" w14:textId="77777777" w:rsidR="0068523B" w:rsidRPr="0068523B" w:rsidRDefault="0068523B" w:rsidP="00413DE5">
            <w:pPr>
              <w:keepNext/>
              <w:keepLines/>
              <w:spacing w:before="20" w:after="20"/>
              <w:rPr>
                <w:rFonts w:cs="Arial"/>
                <w:sz w:val="20"/>
                <w:szCs w:val="20"/>
              </w:rPr>
            </w:pPr>
            <w:r w:rsidRPr="0068523B">
              <w:rPr>
                <w:rFonts w:cs="Arial"/>
                <w:sz w:val="20"/>
                <w:szCs w:val="20"/>
              </w:rPr>
              <w:t>Tim Melloch</w:t>
            </w:r>
          </w:p>
          <w:p w14:paraId="4661E298" w14:textId="6FE1607E" w:rsidR="00C60494" w:rsidRPr="0068523B" w:rsidRDefault="00C60494" w:rsidP="00413DE5">
            <w:pPr>
              <w:keepNext/>
              <w:keepLines/>
              <w:spacing w:before="20" w:after="20"/>
              <w:rPr>
                <w:rFonts w:cs="Arial"/>
                <w:sz w:val="20"/>
                <w:szCs w:val="20"/>
              </w:rPr>
            </w:pPr>
            <w:r w:rsidRPr="0068523B">
              <w:rPr>
                <w:rFonts w:cs="Arial"/>
                <w:sz w:val="20"/>
                <w:szCs w:val="20"/>
              </w:rPr>
              <w:t>Jennifer Holmes</w:t>
            </w:r>
          </w:p>
          <w:p w14:paraId="343EAC99" w14:textId="77777777" w:rsidR="00C60494" w:rsidRPr="0068523B" w:rsidRDefault="00C60494" w:rsidP="00413DE5">
            <w:pPr>
              <w:keepNext/>
              <w:keepLines/>
              <w:spacing w:before="20" w:after="20"/>
              <w:rPr>
                <w:rFonts w:cs="Arial"/>
                <w:sz w:val="20"/>
                <w:szCs w:val="20"/>
              </w:rPr>
            </w:pPr>
            <w:r w:rsidRPr="0068523B">
              <w:rPr>
                <w:rFonts w:cs="Arial"/>
                <w:sz w:val="20"/>
                <w:szCs w:val="20"/>
              </w:rPr>
              <w:t>Cal TF Staff</w:t>
            </w:r>
          </w:p>
        </w:tc>
        <w:tc>
          <w:tcPr>
            <w:tcW w:w="2548" w:type="pct"/>
          </w:tcPr>
          <w:p w14:paraId="63703914" w14:textId="77777777" w:rsidR="00C60494" w:rsidRDefault="00C60494" w:rsidP="00413DE5">
            <w:pPr>
              <w:keepNext/>
              <w:keepLines/>
              <w:spacing w:before="20" w:after="20"/>
              <w:rPr>
                <w:rFonts w:cs="Arial"/>
                <w:sz w:val="20"/>
                <w:szCs w:val="20"/>
              </w:rPr>
            </w:pPr>
            <w:r>
              <w:rPr>
                <w:rFonts w:cs="Arial"/>
                <w:sz w:val="20"/>
                <w:szCs w:val="20"/>
              </w:rPr>
              <w:t>Draft of consolidated text for this statewide measure is based upon:</w:t>
            </w:r>
          </w:p>
          <w:p w14:paraId="634AA9C0" w14:textId="37EAC241" w:rsidR="00C60494" w:rsidRDefault="0068523B" w:rsidP="00413DE5">
            <w:pPr>
              <w:keepNext/>
              <w:keepLines/>
              <w:spacing w:before="20" w:after="20"/>
              <w:rPr>
                <w:rFonts w:cs="Arial"/>
                <w:sz w:val="20"/>
                <w:szCs w:val="20"/>
              </w:rPr>
            </w:pPr>
            <w:r>
              <w:rPr>
                <w:rFonts w:cs="Arial"/>
                <w:sz w:val="20"/>
                <w:szCs w:val="20"/>
              </w:rPr>
              <w:t>SCE17LG117, Version 0 (February 16, 2017)</w:t>
            </w:r>
          </w:p>
          <w:p w14:paraId="4890F76C" w14:textId="1FFA6EA0" w:rsidR="008E035B" w:rsidRDefault="008E035B" w:rsidP="00413DE5">
            <w:pPr>
              <w:keepNext/>
              <w:keepLines/>
              <w:spacing w:before="20" w:after="20"/>
              <w:rPr>
                <w:rFonts w:cs="Arial"/>
                <w:sz w:val="20"/>
                <w:szCs w:val="20"/>
              </w:rPr>
            </w:pPr>
            <w:r w:rsidRPr="008E035B">
              <w:rPr>
                <w:rFonts w:cs="Arial"/>
                <w:sz w:val="20"/>
                <w:szCs w:val="20"/>
              </w:rPr>
              <w:t>WPSDGENRLG0084</w:t>
            </w:r>
            <w:r w:rsidR="00CD232B">
              <w:rPr>
                <w:rFonts w:cs="Arial"/>
                <w:sz w:val="20"/>
                <w:szCs w:val="20"/>
              </w:rPr>
              <w:t>, Version 0 (August 14, 2017) – short form</w:t>
            </w:r>
          </w:p>
          <w:p w14:paraId="425F23C2" w14:textId="77777777" w:rsidR="00C60494" w:rsidRPr="00CA1CB3" w:rsidRDefault="00C60494" w:rsidP="00413DE5">
            <w:pPr>
              <w:keepNext/>
              <w:keepLines/>
              <w:spacing w:before="20" w:after="20"/>
              <w:rPr>
                <w:rFonts w:cs="Arial"/>
                <w:sz w:val="20"/>
                <w:szCs w:val="20"/>
              </w:rPr>
            </w:pPr>
            <w:r>
              <w:rPr>
                <w:rFonts w:cs="Arial"/>
                <w:sz w:val="20"/>
                <w:szCs w:val="20"/>
              </w:rPr>
              <w:t>Consensus reached among Cal TF members.</w:t>
            </w:r>
          </w:p>
        </w:tc>
      </w:tr>
      <w:tr w:rsidR="003E10B3" w:rsidRPr="00CA1CB3" w14:paraId="0F61E8A8" w14:textId="77777777" w:rsidTr="00741981">
        <w:trPr>
          <w:trHeight w:val="20"/>
        </w:trPr>
        <w:tc>
          <w:tcPr>
            <w:tcW w:w="503" w:type="pct"/>
          </w:tcPr>
          <w:p w14:paraId="2C91C624" w14:textId="77777777" w:rsidR="003E10B3" w:rsidRPr="00CA1CB3" w:rsidRDefault="003E10B3" w:rsidP="00413DE5">
            <w:pPr>
              <w:keepNext/>
              <w:keepLines/>
              <w:spacing w:before="20" w:after="20"/>
              <w:rPr>
                <w:rFonts w:cs="Arial"/>
                <w:sz w:val="20"/>
                <w:szCs w:val="20"/>
              </w:rPr>
            </w:pPr>
          </w:p>
        </w:tc>
        <w:tc>
          <w:tcPr>
            <w:tcW w:w="938" w:type="pct"/>
          </w:tcPr>
          <w:p w14:paraId="6F6B28B8" w14:textId="2883C65E" w:rsidR="003E10B3" w:rsidRPr="001307EF" w:rsidRDefault="003E10B3" w:rsidP="00413DE5">
            <w:pPr>
              <w:keepNext/>
              <w:keepLines/>
              <w:spacing w:before="20" w:after="20"/>
              <w:rPr>
                <w:rFonts w:cs="Arial"/>
                <w:sz w:val="20"/>
                <w:szCs w:val="20"/>
              </w:rPr>
            </w:pPr>
            <w:r>
              <w:rPr>
                <w:rFonts w:cs="Arial"/>
                <w:sz w:val="20"/>
                <w:szCs w:val="20"/>
              </w:rPr>
              <w:t>11/06/2018</w:t>
            </w:r>
          </w:p>
        </w:tc>
        <w:tc>
          <w:tcPr>
            <w:tcW w:w="1011" w:type="pct"/>
          </w:tcPr>
          <w:p w14:paraId="492A7BC9" w14:textId="77777777" w:rsidR="003E10B3" w:rsidRPr="0068523B" w:rsidRDefault="003E10B3" w:rsidP="003E10B3">
            <w:pPr>
              <w:keepNext/>
              <w:keepLines/>
              <w:spacing w:before="20" w:after="20"/>
              <w:rPr>
                <w:rFonts w:cs="Arial"/>
                <w:sz w:val="20"/>
                <w:szCs w:val="20"/>
              </w:rPr>
            </w:pPr>
            <w:r w:rsidRPr="0068523B">
              <w:rPr>
                <w:rFonts w:cs="Arial"/>
                <w:sz w:val="20"/>
                <w:szCs w:val="20"/>
              </w:rPr>
              <w:t>Jennifer Holmes</w:t>
            </w:r>
          </w:p>
          <w:p w14:paraId="7D060C48" w14:textId="7DDBAA7A" w:rsidR="003E10B3" w:rsidRPr="0068523B" w:rsidRDefault="003E10B3" w:rsidP="003E10B3">
            <w:pPr>
              <w:keepNext/>
              <w:keepLines/>
              <w:spacing w:before="20" w:after="20"/>
              <w:rPr>
                <w:rFonts w:cs="Arial"/>
                <w:sz w:val="20"/>
                <w:szCs w:val="20"/>
              </w:rPr>
            </w:pPr>
            <w:r w:rsidRPr="0068523B">
              <w:rPr>
                <w:rFonts w:cs="Arial"/>
                <w:sz w:val="20"/>
                <w:szCs w:val="20"/>
              </w:rPr>
              <w:t>Cal TF Staff</w:t>
            </w:r>
          </w:p>
        </w:tc>
        <w:tc>
          <w:tcPr>
            <w:tcW w:w="2548" w:type="pct"/>
          </w:tcPr>
          <w:p w14:paraId="6FB30784" w14:textId="77777777" w:rsidR="00E06EBD" w:rsidRDefault="00E06EBD" w:rsidP="00E06EBD">
            <w:pPr>
              <w:keepNext/>
              <w:keepLines/>
              <w:spacing w:before="20" w:after="20"/>
              <w:rPr>
                <w:rFonts w:cs="Arial"/>
                <w:sz w:val="20"/>
                <w:szCs w:val="20"/>
              </w:rPr>
            </w:pPr>
            <w:r>
              <w:rPr>
                <w:rFonts w:cs="Arial"/>
                <w:sz w:val="20"/>
                <w:szCs w:val="20"/>
              </w:rPr>
              <w:t>Updates based upon:</w:t>
            </w:r>
          </w:p>
          <w:p w14:paraId="6C1226A8" w14:textId="2A4A8C0B" w:rsidR="003E10B3" w:rsidRDefault="00E06EBD" w:rsidP="00413DE5">
            <w:pPr>
              <w:keepNext/>
              <w:keepLines/>
              <w:spacing w:before="20" w:after="20"/>
              <w:rPr>
                <w:rFonts w:cs="Arial"/>
                <w:sz w:val="20"/>
                <w:szCs w:val="20"/>
              </w:rPr>
            </w:pPr>
            <w:r>
              <w:rPr>
                <w:rFonts w:cs="Arial"/>
                <w:sz w:val="20"/>
                <w:szCs w:val="20"/>
              </w:rPr>
              <w:t>SCE17LG117, Revision 1 (July 11, 2018)</w:t>
            </w:r>
          </w:p>
        </w:tc>
      </w:tr>
      <w:tr w:rsidR="00E06EBD" w:rsidRPr="00CA1CB3" w14:paraId="3AB2F843" w14:textId="77777777" w:rsidTr="00741981">
        <w:trPr>
          <w:trHeight w:val="20"/>
        </w:trPr>
        <w:tc>
          <w:tcPr>
            <w:tcW w:w="503" w:type="pct"/>
          </w:tcPr>
          <w:p w14:paraId="7DCF2BC9" w14:textId="77777777" w:rsidR="00E06EBD" w:rsidRPr="00CA1CB3" w:rsidRDefault="00E06EBD" w:rsidP="00E06EBD">
            <w:pPr>
              <w:keepNext/>
              <w:keepLines/>
              <w:spacing w:before="20" w:after="20"/>
              <w:rPr>
                <w:rFonts w:cs="Arial"/>
                <w:sz w:val="20"/>
                <w:szCs w:val="20"/>
              </w:rPr>
            </w:pPr>
          </w:p>
        </w:tc>
        <w:tc>
          <w:tcPr>
            <w:tcW w:w="938" w:type="pct"/>
          </w:tcPr>
          <w:p w14:paraId="0FCFB768" w14:textId="379F277E" w:rsidR="00E06EBD" w:rsidRDefault="00E06EBD" w:rsidP="00E06EBD">
            <w:pPr>
              <w:keepNext/>
              <w:keepLines/>
              <w:spacing w:before="20" w:after="20"/>
              <w:rPr>
                <w:rFonts w:cs="Arial"/>
                <w:sz w:val="20"/>
                <w:szCs w:val="20"/>
              </w:rPr>
            </w:pPr>
            <w:r>
              <w:rPr>
                <w:rFonts w:cs="Arial"/>
                <w:sz w:val="20"/>
                <w:szCs w:val="20"/>
              </w:rPr>
              <w:t>4/3/2019</w:t>
            </w:r>
          </w:p>
        </w:tc>
        <w:tc>
          <w:tcPr>
            <w:tcW w:w="1011" w:type="pct"/>
          </w:tcPr>
          <w:p w14:paraId="6FBAE363" w14:textId="77777777" w:rsidR="00E06EBD" w:rsidRDefault="00E06EBD" w:rsidP="00E06EBD">
            <w:pPr>
              <w:keepNext/>
              <w:keepLines/>
              <w:spacing w:before="20" w:after="20"/>
              <w:rPr>
                <w:rFonts w:cs="Arial"/>
                <w:sz w:val="20"/>
                <w:szCs w:val="20"/>
              </w:rPr>
            </w:pPr>
            <w:r>
              <w:rPr>
                <w:rFonts w:cs="Arial"/>
                <w:sz w:val="20"/>
                <w:szCs w:val="20"/>
              </w:rPr>
              <w:t xml:space="preserve">Lake </w:t>
            </w:r>
            <w:r w:rsidRPr="006E3975">
              <w:rPr>
                <w:rFonts w:cs="Arial"/>
                <w:sz w:val="20"/>
                <w:szCs w:val="20"/>
              </w:rPr>
              <w:t xml:space="preserve">Casco, </w:t>
            </w:r>
          </w:p>
          <w:p w14:paraId="2EBBCE26" w14:textId="6FB24C44" w:rsidR="00E06EBD" w:rsidRPr="0068523B" w:rsidRDefault="00E06EBD" w:rsidP="00E06EBD">
            <w:pPr>
              <w:keepNext/>
              <w:keepLines/>
              <w:spacing w:before="20" w:after="20"/>
              <w:rPr>
                <w:rFonts w:cs="Arial"/>
                <w:sz w:val="20"/>
                <w:szCs w:val="20"/>
              </w:rPr>
            </w:pPr>
            <w:r>
              <w:rPr>
                <w:rFonts w:cs="Arial"/>
                <w:sz w:val="20"/>
                <w:szCs w:val="20"/>
              </w:rPr>
              <w:t>TRC</w:t>
            </w:r>
          </w:p>
        </w:tc>
        <w:tc>
          <w:tcPr>
            <w:tcW w:w="2548" w:type="pct"/>
          </w:tcPr>
          <w:p w14:paraId="2624BDEC" w14:textId="4540561B" w:rsidR="00E06EBD" w:rsidRDefault="00E06EBD" w:rsidP="00E06EBD">
            <w:pPr>
              <w:keepNext/>
              <w:keepLines/>
              <w:spacing w:before="20" w:after="20"/>
              <w:rPr>
                <w:rFonts w:cs="Arial"/>
                <w:sz w:val="20"/>
                <w:szCs w:val="20"/>
              </w:rPr>
            </w:pPr>
            <w:r>
              <w:rPr>
                <w:rFonts w:cs="Arial"/>
                <w:sz w:val="20"/>
                <w:szCs w:val="20"/>
              </w:rPr>
              <w:t>Updated eligibility requirements based on new efficiency, Dual mode lamps, and DLC V5.</w:t>
            </w:r>
          </w:p>
          <w:p w14:paraId="6A96CBE4" w14:textId="77777777" w:rsidR="00E06EBD" w:rsidRDefault="00E06EBD" w:rsidP="00E06EBD">
            <w:pPr>
              <w:keepNext/>
              <w:keepLines/>
              <w:spacing w:before="20" w:after="20"/>
              <w:rPr>
                <w:rFonts w:cs="Arial"/>
                <w:sz w:val="20"/>
                <w:szCs w:val="20"/>
              </w:rPr>
            </w:pPr>
            <w:r>
              <w:rPr>
                <w:rFonts w:cs="Arial"/>
                <w:sz w:val="20"/>
                <w:szCs w:val="20"/>
              </w:rPr>
              <w:t xml:space="preserve">Updated measure case wattage based on </w:t>
            </w:r>
            <w:proofErr w:type="spellStart"/>
            <w:r>
              <w:rPr>
                <w:rFonts w:cs="Arial"/>
                <w:sz w:val="20"/>
                <w:szCs w:val="20"/>
              </w:rPr>
              <w:t>CALiPER</w:t>
            </w:r>
            <w:proofErr w:type="spellEnd"/>
            <w:r>
              <w:rPr>
                <w:rFonts w:cs="Arial"/>
                <w:sz w:val="20"/>
                <w:szCs w:val="20"/>
              </w:rPr>
              <w:t xml:space="preserve"> fixture efficiency testing and new efficiency requirements.</w:t>
            </w:r>
          </w:p>
          <w:p w14:paraId="3618DCC5" w14:textId="77777777" w:rsidR="00E06EBD" w:rsidRDefault="00E06EBD" w:rsidP="00E06EBD">
            <w:pPr>
              <w:keepNext/>
              <w:keepLines/>
              <w:spacing w:before="20" w:after="20"/>
              <w:rPr>
                <w:rFonts w:cs="Arial"/>
                <w:sz w:val="20"/>
                <w:szCs w:val="20"/>
              </w:rPr>
            </w:pPr>
            <w:r>
              <w:rPr>
                <w:rFonts w:cs="Arial"/>
                <w:sz w:val="20"/>
                <w:szCs w:val="20"/>
              </w:rPr>
              <w:t xml:space="preserve">Updated material costing based on online retailers. Labor cost updated using 2019 RSMeans Online. </w:t>
            </w:r>
          </w:p>
          <w:p w14:paraId="72DA3D77" w14:textId="77777777" w:rsidR="00E06EBD" w:rsidRDefault="00E06EBD" w:rsidP="00E06EBD">
            <w:pPr>
              <w:keepNext/>
              <w:keepLines/>
              <w:spacing w:before="20" w:after="20"/>
              <w:rPr>
                <w:rFonts w:cs="Arial"/>
                <w:sz w:val="20"/>
                <w:szCs w:val="20"/>
              </w:rPr>
            </w:pPr>
            <w:r>
              <w:rPr>
                <w:rFonts w:cs="Arial"/>
                <w:sz w:val="20"/>
                <w:szCs w:val="20"/>
              </w:rPr>
              <w:t xml:space="preserve">Updated code language. </w:t>
            </w:r>
          </w:p>
          <w:p w14:paraId="75E05893" w14:textId="08EB5971" w:rsidR="00E06EBD" w:rsidRDefault="00E06EBD" w:rsidP="00E06EBD">
            <w:pPr>
              <w:keepNext/>
              <w:keepLines/>
              <w:spacing w:before="20" w:after="20"/>
              <w:rPr>
                <w:rFonts w:cs="Arial"/>
                <w:sz w:val="20"/>
                <w:szCs w:val="20"/>
              </w:rPr>
            </w:pPr>
            <w:r>
              <w:rPr>
                <w:rFonts w:cs="Arial"/>
                <w:sz w:val="20"/>
                <w:szCs w:val="20"/>
              </w:rPr>
              <w:t>Energy savings and demand reduction updated using DEER2020 HVAC IE and CDF.</w:t>
            </w:r>
          </w:p>
        </w:tc>
      </w:tr>
      <w:tr w:rsidR="006B5783" w:rsidRPr="00CA1CB3" w14:paraId="5F88F4F8" w14:textId="77777777" w:rsidTr="00741981">
        <w:trPr>
          <w:trHeight w:val="20"/>
        </w:trPr>
        <w:tc>
          <w:tcPr>
            <w:tcW w:w="503" w:type="pct"/>
          </w:tcPr>
          <w:p w14:paraId="6D2BDF70" w14:textId="77777777" w:rsidR="006B5783" w:rsidRPr="00CA1CB3" w:rsidRDefault="006B5783" w:rsidP="00E06EBD">
            <w:pPr>
              <w:keepNext/>
              <w:keepLines/>
              <w:spacing w:before="20" w:after="20"/>
              <w:rPr>
                <w:rFonts w:cs="Arial"/>
                <w:sz w:val="20"/>
                <w:szCs w:val="20"/>
              </w:rPr>
            </w:pPr>
          </w:p>
        </w:tc>
        <w:tc>
          <w:tcPr>
            <w:tcW w:w="938" w:type="pct"/>
          </w:tcPr>
          <w:p w14:paraId="4727B962" w14:textId="2D10F46D" w:rsidR="006B5783" w:rsidRDefault="006B5783" w:rsidP="00E06EBD">
            <w:pPr>
              <w:keepNext/>
              <w:keepLines/>
              <w:spacing w:before="20" w:after="20"/>
              <w:rPr>
                <w:rFonts w:cs="Arial"/>
                <w:sz w:val="20"/>
                <w:szCs w:val="20"/>
              </w:rPr>
            </w:pPr>
            <w:r>
              <w:rPr>
                <w:rFonts w:cs="Arial"/>
                <w:sz w:val="20"/>
                <w:szCs w:val="20"/>
              </w:rPr>
              <w:t>4/29/2019</w:t>
            </w:r>
          </w:p>
        </w:tc>
        <w:tc>
          <w:tcPr>
            <w:tcW w:w="1011" w:type="pct"/>
          </w:tcPr>
          <w:p w14:paraId="417FA6C7" w14:textId="77777777" w:rsidR="006B5783" w:rsidRPr="0068523B" w:rsidRDefault="006B5783" w:rsidP="006B5783">
            <w:pPr>
              <w:keepNext/>
              <w:keepLines/>
              <w:spacing w:before="20" w:after="20"/>
              <w:rPr>
                <w:rFonts w:cs="Arial"/>
                <w:sz w:val="20"/>
                <w:szCs w:val="20"/>
              </w:rPr>
            </w:pPr>
            <w:r w:rsidRPr="0068523B">
              <w:rPr>
                <w:rFonts w:cs="Arial"/>
                <w:sz w:val="20"/>
                <w:szCs w:val="20"/>
              </w:rPr>
              <w:t>Jennifer Holmes</w:t>
            </w:r>
          </w:p>
          <w:p w14:paraId="59FFBB71" w14:textId="592E0153" w:rsidR="006B5783" w:rsidRDefault="006B5783" w:rsidP="006B5783">
            <w:pPr>
              <w:keepNext/>
              <w:keepLines/>
              <w:spacing w:before="20" w:after="20"/>
              <w:rPr>
                <w:rFonts w:cs="Arial"/>
                <w:sz w:val="20"/>
                <w:szCs w:val="20"/>
              </w:rPr>
            </w:pPr>
            <w:r w:rsidRPr="0068523B">
              <w:rPr>
                <w:rFonts w:cs="Arial"/>
                <w:sz w:val="20"/>
                <w:szCs w:val="20"/>
              </w:rPr>
              <w:t>Cal TF Staff</w:t>
            </w:r>
          </w:p>
        </w:tc>
        <w:tc>
          <w:tcPr>
            <w:tcW w:w="2548" w:type="pct"/>
          </w:tcPr>
          <w:p w14:paraId="42C6CBE5" w14:textId="18BF56A5" w:rsidR="006B5783" w:rsidRDefault="006B5783" w:rsidP="00E06EBD">
            <w:pPr>
              <w:keepNext/>
              <w:keepLines/>
              <w:spacing w:before="20" w:after="20"/>
              <w:rPr>
                <w:rFonts w:cs="Arial"/>
                <w:sz w:val="20"/>
                <w:szCs w:val="20"/>
              </w:rPr>
            </w:pPr>
            <w:r>
              <w:rPr>
                <w:rFonts w:cs="Arial"/>
                <w:sz w:val="20"/>
                <w:szCs w:val="20"/>
              </w:rPr>
              <w:t>Revisions for submittal of version 01.</w:t>
            </w:r>
          </w:p>
        </w:tc>
      </w:tr>
      <w:tr w:rsidR="0046345D" w:rsidRPr="00CA1CB3" w14:paraId="738D1A0D" w14:textId="77777777" w:rsidTr="00741981">
        <w:trPr>
          <w:trHeight w:val="20"/>
        </w:trPr>
        <w:tc>
          <w:tcPr>
            <w:tcW w:w="503" w:type="pct"/>
          </w:tcPr>
          <w:p w14:paraId="3BA0DB54" w14:textId="77777777" w:rsidR="0046345D" w:rsidRPr="00CA1CB3" w:rsidRDefault="0046345D" w:rsidP="00E06EBD">
            <w:pPr>
              <w:keepNext/>
              <w:keepLines/>
              <w:spacing w:before="20" w:after="20"/>
              <w:rPr>
                <w:rFonts w:cs="Arial"/>
                <w:sz w:val="20"/>
                <w:szCs w:val="20"/>
              </w:rPr>
            </w:pPr>
          </w:p>
        </w:tc>
        <w:tc>
          <w:tcPr>
            <w:tcW w:w="938" w:type="pct"/>
          </w:tcPr>
          <w:p w14:paraId="250AF132" w14:textId="78699552" w:rsidR="0046345D" w:rsidRDefault="0053354D" w:rsidP="00E06EBD">
            <w:pPr>
              <w:keepNext/>
              <w:keepLines/>
              <w:spacing w:before="20" w:after="20"/>
              <w:rPr>
                <w:rFonts w:cs="Arial"/>
                <w:sz w:val="20"/>
                <w:szCs w:val="20"/>
              </w:rPr>
            </w:pPr>
            <w:r>
              <w:rPr>
                <w:rFonts w:cs="Arial"/>
                <w:sz w:val="20"/>
                <w:szCs w:val="20"/>
              </w:rPr>
              <w:t>7/1/2019</w:t>
            </w:r>
          </w:p>
        </w:tc>
        <w:tc>
          <w:tcPr>
            <w:tcW w:w="1011" w:type="pct"/>
          </w:tcPr>
          <w:p w14:paraId="059258A3" w14:textId="77777777" w:rsidR="0046345D" w:rsidRDefault="0053354D" w:rsidP="006B5783">
            <w:pPr>
              <w:keepNext/>
              <w:keepLines/>
              <w:spacing w:before="20" w:after="20"/>
              <w:rPr>
                <w:rFonts w:cs="Arial"/>
                <w:sz w:val="20"/>
                <w:szCs w:val="20"/>
              </w:rPr>
            </w:pPr>
            <w:r>
              <w:rPr>
                <w:rFonts w:cs="Arial"/>
                <w:sz w:val="20"/>
                <w:szCs w:val="20"/>
              </w:rPr>
              <w:t>Ajay Wadhera</w:t>
            </w:r>
          </w:p>
          <w:p w14:paraId="2FD3D02D" w14:textId="0EE6BD18" w:rsidR="0053354D" w:rsidRPr="0068523B" w:rsidRDefault="0053354D" w:rsidP="006B5783">
            <w:pPr>
              <w:keepNext/>
              <w:keepLines/>
              <w:spacing w:before="20" w:after="20"/>
              <w:rPr>
                <w:rFonts w:cs="Arial"/>
                <w:sz w:val="20"/>
                <w:szCs w:val="20"/>
              </w:rPr>
            </w:pPr>
            <w:r>
              <w:rPr>
                <w:rFonts w:cs="Arial"/>
                <w:sz w:val="20"/>
                <w:szCs w:val="20"/>
              </w:rPr>
              <w:t>SCE</w:t>
            </w:r>
          </w:p>
        </w:tc>
        <w:tc>
          <w:tcPr>
            <w:tcW w:w="2548" w:type="pct"/>
          </w:tcPr>
          <w:p w14:paraId="0B15BB77" w14:textId="77777777" w:rsidR="0046345D" w:rsidRDefault="0053354D" w:rsidP="00E06EBD">
            <w:pPr>
              <w:keepNext/>
              <w:keepLines/>
              <w:spacing w:before="20" w:after="20"/>
              <w:rPr>
                <w:rFonts w:cs="Arial"/>
                <w:sz w:val="20"/>
                <w:szCs w:val="20"/>
              </w:rPr>
            </w:pPr>
            <w:r>
              <w:rPr>
                <w:rFonts w:cs="Arial"/>
                <w:sz w:val="20"/>
                <w:szCs w:val="20"/>
              </w:rPr>
              <w:t>Revision of workpaper document and relative calculations for parking garages.</w:t>
            </w:r>
          </w:p>
          <w:p w14:paraId="6BE60CFC" w14:textId="5BC56C51" w:rsidR="0053354D" w:rsidRDefault="0053354D" w:rsidP="00E06EBD">
            <w:pPr>
              <w:keepNext/>
              <w:keepLines/>
              <w:spacing w:before="20" w:after="20"/>
              <w:rPr>
                <w:rFonts w:cs="Arial"/>
                <w:sz w:val="20"/>
                <w:szCs w:val="20"/>
              </w:rPr>
            </w:pPr>
            <w:r>
              <w:rPr>
                <w:rFonts w:cs="Arial"/>
                <w:sz w:val="20"/>
                <w:szCs w:val="20"/>
              </w:rPr>
              <w:t>Revised some languages in word document to better reflect the requirements for programs.</w:t>
            </w:r>
          </w:p>
        </w:tc>
      </w:tr>
      <w:tr w:rsidR="00373B83" w:rsidRPr="00CA1CB3" w14:paraId="1D825200" w14:textId="77777777" w:rsidTr="00741981">
        <w:trPr>
          <w:trHeight w:val="20"/>
        </w:trPr>
        <w:tc>
          <w:tcPr>
            <w:tcW w:w="503" w:type="pct"/>
          </w:tcPr>
          <w:p w14:paraId="4539423D" w14:textId="77777777" w:rsidR="00373B83" w:rsidRPr="00CA1CB3" w:rsidRDefault="00373B83" w:rsidP="00E06EBD">
            <w:pPr>
              <w:keepNext/>
              <w:keepLines/>
              <w:spacing w:before="20" w:after="20"/>
              <w:rPr>
                <w:rFonts w:cs="Arial"/>
                <w:sz w:val="20"/>
                <w:szCs w:val="20"/>
              </w:rPr>
            </w:pPr>
          </w:p>
        </w:tc>
        <w:tc>
          <w:tcPr>
            <w:tcW w:w="938" w:type="pct"/>
          </w:tcPr>
          <w:p w14:paraId="40AEFD52" w14:textId="38D3D809" w:rsidR="00373B83" w:rsidRDefault="00373B83" w:rsidP="00E06EBD">
            <w:pPr>
              <w:keepNext/>
              <w:keepLines/>
              <w:spacing w:before="20" w:after="20"/>
              <w:rPr>
                <w:rFonts w:cs="Arial"/>
                <w:sz w:val="20"/>
                <w:szCs w:val="20"/>
              </w:rPr>
            </w:pPr>
            <w:r>
              <w:rPr>
                <w:rFonts w:cs="Arial"/>
                <w:sz w:val="20"/>
                <w:szCs w:val="20"/>
              </w:rPr>
              <w:t>12/12/2019</w:t>
            </w:r>
          </w:p>
        </w:tc>
        <w:tc>
          <w:tcPr>
            <w:tcW w:w="1011" w:type="pct"/>
          </w:tcPr>
          <w:p w14:paraId="5ECE6922" w14:textId="77777777" w:rsidR="00373B83" w:rsidRDefault="00373B83" w:rsidP="006B5783">
            <w:pPr>
              <w:keepNext/>
              <w:keepLines/>
              <w:spacing w:before="20" w:after="20"/>
              <w:rPr>
                <w:rFonts w:cs="Arial"/>
                <w:sz w:val="20"/>
                <w:szCs w:val="20"/>
              </w:rPr>
            </w:pPr>
            <w:r>
              <w:rPr>
                <w:rFonts w:cs="Arial"/>
                <w:sz w:val="20"/>
                <w:szCs w:val="20"/>
              </w:rPr>
              <w:t>Henry Liu</w:t>
            </w:r>
          </w:p>
          <w:p w14:paraId="1439007E" w14:textId="6502FBC6" w:rsidR="00373B83" w:rsidRDefault="00373B83" w:rsidP="006B5783">
            <w:pPr>
              <w:keepNext/>
              <w:keepLines/>
              <w:spacing w:before="20" w:after="20"/>
              <w:rPr>
                <w:rFonts w:cs="Arial"/>
                <w:sz w:val="20"/>
                <w:szCs w:val="20"/>
              </w:rPr>
            </w:pPr>
            <w:r>
              <w:rPr>
                <w:rFonts w:cs="Arial"/>
                <w:sz w:val="20"/>
                <w:szCs w:val="20"/>
              </w:rPr>
              <w:t>PG&amp;E</w:t>
            </w:r>
          </w:p>
        </w:tc>
        <w:tc>
          <w:tcPr>
            <w:tcW w:w="2548" w:type="pct"/>
          </w:tcPr>
          <w:p w14:paraId="69D4A31C" w14:textId="00D0F621" w:rsidR="00373B83" w:rsidRDefault="00373B83" w:rsidP="00E06EBD">
            <w:pPr>
              <w:keepNext/>
              <w:keepLines/>
              <w:spacing w:before="20" w:after="20"/>
              <w:rPr>
                <w:rFonts w:cs="Arial"/>
                <w:sz w:val="20"/>
                <w:szCs w:val="20"/>
              </w:rPr>
            </w:pPr>
            <w:r>
              <w:rPr>
                <w:rFonts w:cs="Arial"/>
                <w:sz w:val="20"/>
                <w:szCs w:val="20"/>
              </w:rPr>
              <w:t>Adopting measures and no changes to the workpaper or savings.</w:t>
            </w:r>
          </w:p>
        </w:tc>
      </w:tr>
      <w:tr w:rsidR="00C73993" w:rsidRPr="00CA1CB3" w14:paraId="42832A91" w14:textId="77777777" w:rsidTr="00741981">
        <w:trPr>
          <w:trHeight w:val="20"/>
        </w:trPr>
        <w:tc>
          <w:tcPr>
            <w:tcW w:w="503" w:type="pct"/>
          </w:tcPr>
          <w:p w14:paraId="6B9B0C5F" w14:textId="0018FB70" w:rsidR="00C73993" w:rsidRPr="00CA1CB3" w:rsidRDefault="00C73993" w:rsidP="00E06EBD">
            <w:pPr>
              <w:keepNext/>
              <w:keepLines/>
              <w:spacing w:before="20" w:after="20"/>
              <w:rPr>
                <w:rFonts w:cs="Arial"/>
                <w:sz w:val="20"/>
                <w:szCs w:val="20"/>
              </w:rPr>
            </w:pPr>
            <w:r>
              <w:rPr>
                <w:rFonts w:cs="Arial"/>
                <w:sz w:val="20"/>
                <w:szCs w:val="20"/>
              </w:rPr>
              <w:t>02</w:t>
            </w:r>
          </w:p>
        </w:tc>
        <w:tc>
          <w:tcPr>
            <w:tcW w:w="938" w:type="pct"/>
          </w:tcPr>
          <w:p w14:paraId="36367DF7" w14:textId="0621ABB5" w:rsidR="00C73993" w:rsidRDefault="00837F60" w:rsidP="00E06EBD">
            <w:pPr>
              <w:keepNext/>
              <w:keepLines/>
              <w:spacing w:before="20" w:after="20"/>
              <w:rPr>
                <w:rFonts w:cs="Arial"/>
                <w:sz w:val="20"/>
                <w:szCs w:val="20"/>
              </w:rPr>
            </w:pPr>
            <w:r>
              <w:rPr>
                <w:rFonts w:cs="Arial"/>
                <w:sz w:val="20"/>
                <w:szCs w:val="20"/>
              </w:rPr>
              <w:t>6/</w:t>
            </w:r>
            <w:r w:rsidR="006872F7">
              <w:rPr>
                <w:rFonts w:cs="Arial"/>
                <w:sz w:val="20"/>
                <w:szCs w:val="20"/>
              </w:rPr>
              <w:t>2</w:t>
            </w:r>
            <w:r w:rsidR="00C73993">
              <w:rPr>
                <w:rFonts w:cs="Arial"/>
                <w:sz w:val="20"/>
                <w:szCs w:val="20"/>
              </w:rPr>
              <w:t>/2020</w:t>
            </w:r>
          </w:p>
        </w:tc>
        <w:tc>
          <w:tcPr>
            <w:tcW w:w="1011" w:type="pct"/>
          </w:tcPr>
          <w:p w14:paraId="638B4478" w14:textId="42E09747" w:rsidR="00C73993" w:rsidRDefault="00C73993" w:rsidP="006B5783">
            <w:pPr>
              <w:keepNext/>
              <w:keepLines/>
              <w:spacing w:before="20" w:after="20"/>
              <w:rPr>
                <w:rFonts w:cs="Arial"/>
                <w:sz w:val="20"/>
                <w:szCs w:val="20"/>
              </w:rPr>
            </w:pPr>
            <w:r>
              <w:rPr>
                <w:rFonts w:cs="Arial"/>
                <w:sz w:val="20"/>
                <w:szCs w:val="20"/>
              </w:rPr>
              <w:t>Lake Casco, PE TRC</w:t>
            </w:r>
          </w:p>
        </w:tc>
        <w:tc>
          <w:tcPr>
            <w:tcW w:w="2548" w:type="pct"/>
          </w:tcPr>
          <w:p w14:paraId="66C47CA0" w14:textId="781AF2EA" w:rsidR="00C73993" w:rsidRDefault="00C73993" w:rsidP="00E06EBD">
            <w:pPr>
              <w:keepNext/>
              <w:keepLines/>
              <w:spacing w:before="20" w:after="20"/>
              <w:rPr>
                <w:rFonts w:cs="Arial"/>
                <w:sz w:val="20"/>
                <w:szCs w:val="20"/>
              </w:rPr>
            </w:pPr>
            <w:r>
              <w:rPr>
                <w:rFonts w:cs="Arial"/>
                <w:sz w:val="20"/>
                <w:szCs w:val="20"/>
              </w:rPr>
              <w:t>Update</w:t>
            </w:r>
            <w:r w:rsidR="00EB38B0">
              <w:rPr>
                <w:rFonts w:cs="Arial"/>
                <w:sz w:val="20"/>
                <w:szCs w:val="20"/>
              </w:rPr>
              <w:t>d</w:t>
            </w:r>
            <w:r>
              <w:rPr>
                <w:rFonts w:cs="Arial"/>
                <w:sz w:val="20"/>
                <w:szCs w:val="20"/>
              </w:rPr>
              <w:t xml:space="preserve"> measure and baseline costs with 2020 online retailer costs. </w:t>
            </w:r>
          </w:p>
          <w:p w14:paraId="70CEA454" w14:textId="366D79E7" w:rsidR="0011280F" w:rsidRDefault="0011280F" w:rsidP="00E06EBD">
            <w:pPr>
              <w:keepNext/>
              <w:keepLines/>
              <w:spacing w:before="20" w:after="20"/>
              <w:rPr>
                <w:rFonts w:cs="Arial"/>
                <w:sz w:val="20"/>
                <w:szCs w:val="20"/>
              </w:rPr>
            </w:pPr>
            <w:r>
              <w:rPr>
                <w:rFonts w:cs="Arial"/>
                <w:sz w:val="20"/>
                <w:szCs w:val="20"/>
              </w:rPr>
              <w:t>Updated calculations to use newest DEER2020 HVAC IE updated in February 2020.</w:t>
            </w:r>
          </w:p>
        </w:tc>
      </w:tr>
      <w:tr w:rsidR="007E22C8" w:rsidRPr="00CA1CB3" w14:paraId="52555871" w14:textId="77777777" w:rsidTr="00741981">
        <w:trPr>
          <w:trHeight w:val="20"/>
        </w:trPr>
        <w:tc>
          <w:tcPr>
            <w:tcW w:w="503" w:type="pct"/>
          </w:tcPr>
          <w:p w14:paraId="4065C21B" w14:textId="2FCD3AF3" w:rsidR="007E22C8" w:rsidRDefault="007E22C8" w:rsidP="00E06EBD">
            <w:pPr>
              <w:keepNext/>
              <w:keepLines/>
              <w:spacing w:before="20" w:after="20"/>
              <w:rPr>
                <w:rFonts w:cs="Arial"/>
                <w:sz w:val="20"/>
                <w:szCs w:val="20"/>
              </w:rPr>
            </w:pPr>
            <w:r>
              <w:rPr>
                <w:rFonts w:cs="Arial"/>
                <w:sz w:val="20"/>
                <w:szCs w:val="20"/>
              </w:rPr>
              <w:t>02</w:t>
            </w:r>
          </w:p>
        </w:tc>
        <w:tc>
          <w:tcPr>
            <w:tcW w:w="938" w:type="pct"/>
          </w:tcPr>
          <w:p w14:paraId="1AD4650C" w14:textId="71B1006C" w:rsidR="007E22C8" w:rsidRDefault="007E22C8" w:rsidP="00E06EBD">
            <w:pPr>
              <w:keepNext/>
              <w:keepLines/>
              <w:spacing w:before="20" w:after="20"/>
              <w:rPr>
                <w:rFonts w:cs="Arial"/>
                <w:sz w:val="20"/>
                <w:szCs w:val="20"/>
              </w:rPr>
            </w:pPr>
            <w:r>
              <w:rPr>
                <w:rFonts w:cs="Arial"/>
                <w:sz w:val="20"/>
                <w:szCs w:val="20"/>
              </w:rPr>
              <w:t>8/09/2021</w:t>
            </w:r>
          </w:p>
        </w:tc>
        <w:tc>
          <w:tcPr>
            <w:tcW w:w="1011" w:type="pct"/>
          </w:tcPr>
          <w:p w14:paraId="61352BAA" w14:textId="5BCCC957" w:rsidR="007E22C8" w:rsidRDefault="007E22C8" w:rsidP="006B5783">
            <w:pPr>
              <w:keepNext/>
              <w:keepLines/>
              <w:spacing w:before="20" w:after="20"/>
              <w:rPr>
                <w:rFonts w:cs="Arial"/>
                <w:sz w:val="20"/>
                <w:szCs w:val="20"/>
              </w:rPr>
            </w:pPr>
            <w:r>
              <w:rPr>
                <w:rFonts w:cs="Arial"/>
                <w:sz w:val="20"/>
                <w:szCs w:val="20"/>
              </w:rPr>
              <w:t>Ajay Wadhera, SCE</w:t>
            </w:r>
          </w:p>
        </w:tc>
        <w:tc>
          <w:tcPr>
            <w:tcW w:w="2548" w:type="pct"/>
          </w:tcPr>
          <w:p w14:paraId="4FD8FC56" w14:textId="4AA46F26" w:rsidR="007E22C8" w:rsidRPr="007E22C8" w:rsidRDefault="007E22C8" w:rsidP="007E22C8">
            <w:pPr>
              <w:pStyle w:val="TableParagraph"/>
              <w:spacing w:before="19"/>
              <w:ind w:right="160"/>
              <w:rPr>
                <w:rFonts w:ascii="Calibri Light"/>
                <w:sz w:val="20"/>
              </w:rPr>
            </w:pPr>
            <w:r w:rsidRPr="00BD18D2">
              <w:rPr>
                <w:rFonts w:ascii="Calibri Light"/>
                <w:sz w:val="20"/>
              </w:rPr>
              <w:t xml:space="preserve">Changed E3MeaElecEndUseShape from </w:t>
            </w:r>
            <w:r w:rsidRPr="00BD18D2">
              <w:rPr>
                <w:rFonts w:ascii="Calibri Light"/>
                <w:sz w:val="20"/>
              </w:rPr>
              <w:t>“</w:t>
            </w:r>
            <w:proofErr w:type="spellStart"/>
            <w:proofErr w:type="gramStart"/>
            <w:r w:rsidRPr="00BD18D2">
              <w:rPr>
                <w:rFonts w:ascii="Calibri Light"/>
                <w:sz w:val="20"/>
              </w:rPr>
              <w:t>DEER:Indoor</w:t>
            </w:r>
            <w:proofErr w:type="gramEnd"/>
            <w:r w:rsidRPr="00BD18D2">
              <w:rPr>
                <w:rFonts w:ascii="Calibri Light"/>
                <w:sz w:val="20"/>
              </w:rPr>
              <w:t>_Non-CFL_Ltg</w:t>
            </w:r>
            <w:proofErr w:type="spellEnd"/>
            <w:r w:rsidRPr="00BD18D2">
              <w:rPr>
                <w:rFonts w:ascii="Calibri Light"/>
                <w:sz w:val="20"/>
              </w:rPr>
              <w:t>”</w:t>
            </w:r>
            <w:r w:rsidRPr="00BD18D2">
              <w:rPr>
                <w:rFonts w:ascii="Calibri Light"/>
                <w:sz w:val="20"/>
              </w:rPr>
              <w:t xml:space="preserve"> to </w:t>
            </w:r>
            <w:r w:rsidRPr="00BD18D2">
              <w:rPr>
                <w:rFonts w:ascii="Calibri Light"/>
                <w:sz w:val="20"/>
              </w:rPr>
              <w:t>“</w:t>
            </w:r>
            <w:proofErr w:type="spellStart"/>
            <w:r w:rsidRPr="00BD18D2">
              <w:rPr>
                <w:rFonts w:ascii="Calibri Light"/>
                <w:sz w:val="20"/>
              </w:rPr>
              <w:t>DEER:Indoor_CFL_Ltg</w:t>
            </w:r>
            <w:proofErr w:type="spellEnd"/>
            <w:r w:rsidRPr="00BD18D2">
              <w:rPr>
                <w:rFonts w:ascii="Calibri Light"/>
                <w:sz w:val="20"/>
              </w:rPr>
              <w:t>”</w:t>
            </w:r>
            <w:r w:rsidRPr="00BD18D2">
              <w:rPr>
                <w:rFonts w:ascii="Calibri Light"/>
                <w:sz w:val="20"/>
              </w:rPr>
              <w:t xml:space="preserve"> in EAD table.</w:t>
            </w:r>
          </w:p>
        </w:tc>
      </w:tr>
    </w:tbl>
    <w:p w14:paraId="2AE7B4F3" w14:textId="5A5F23A1" w:rsidR="00C60494" w:rsidRDefault="00C60494" w:rsidP="00C60494">
      <w:bookmarkStart w:id="98" w:name="_GoBack"/>
      <w:bookmarkEnd w:id="96"/>
      <w:bookmarkEnd w:id="97"/>
      <w:bookmarkEnd w:id="98"/>
    </w:p>
    <w:sectPr w:rsidR="00C60494" w:rsidSect="005F505E">
      <w:headerReference w:type="default" r:id="rId23"/>
      <w:headerReference w:type="first" r:id="rId24"/>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F9CA44" w14:textId="77777777" w:rsidR="00AC67EC" w:rsidRDefault="00AC67EC" w:rsidP="00A2690C">
      <w:r>
        <w:separator/>
      </w:r>
    </w:p>
    <w:p w14:paraId="52D18664" w14:textId="77777777" w:rsidR="00AC67EC" w:rsidRDefault="00AC67EC"/>
  </w:endnote>
  <w:endnote w:type="continuationSeparator" w:id="0">
    <w:p w14:paraId="48FF194A" w14:textId="77777777" w:rsidR="00AC67EC" w:rsidRDefault="00AC67EC" w:rsidP="00A2690C">
      <w:r>
        <w:continuationSeparator/>
      </w:r>
    </w:p>
    <w:p w14:paraId="7D7A0844" w14:textId="77777777" w:rsidR="00AC67EC" w:rsidRDefault="00AC67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Yu Gothic"/>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3CAB4" w14:textId="77777777" w:rsidR="00FC3474" w:rsidRDefault="00FC3474"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75504DFD" wp14:editId="24CCD3C1">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44741157" w14:textId="77777777" w:rsidR="00FC3474" w:rsidRPr="00B837C1" w:rsidRDefault="00FC3474"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A3C591" w14:textId="77777777" w:rsidR="00FC3474" w:rsidRDefault="00FC3474"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60E45BDE" wp14:editId="33A53BCD">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6DDF4CA0" w14:textId="77777777" w:rsidR="00FC3474" w:rsidRPr="00B837C1" w:rsidRDefault="00FC3474"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3</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B0D5F" w14:textId="77777777" w:rsidR="00FC3474" w:rsidRDefault="00FC3474"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33E79DC5" wp14:editId="579C6C4D">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5AFCC2C3" w14:textId="77777777" w:rsidR="00FC3474" w:rsidRPr="005F505E" w:rsidRDefault="00FC3474"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C580AF" w14:textId="77777777" w:rsidR="00AC67EC" w:rsidRDefault="00AC67EC" w:rsidP="00A2690C">
      <w:r>
        <w:separator/>
      </w:r>
    </w:p>
    <w:p w14:paraId="27E670E0" w14:textId="77777777" w:rsidR="00AC67EC" w:rsidRDefault="00AC67EC"/>
  </w:footnote>
  <w:footnote w:type="continuationSeparator" w:id="0">
    <w:p w14:paraId="5DFCDD81" w14:textId="77777777" w:rsidR="00AC67EC" w:rsidRDefault="00AC67EC" w:rsidP="00A2690C">
      <w:r>
        <w:continuationSeparator/>
      </w:r>
    </w:p>
    <w:p w14:paraId="48CA7F32" w14:textId="77777777" w:rsidR="00AC67EC" w:rsidRDefault="00AC67EC"/>
  </w:footnote>
  <w:footnote w:id="1">
    <w:p w14:paraId="1CAD9EBB" w14:textId="46A28F85" w:rsidR="00FC3474" w:rsidRDefault="00FC3474">
      <w:pPr>
        <w:pStyle w:val="FootnoteText"/>
      </w:pPr>
      <w:r>
        <w:rPr>
          <w:rStyle w:val="FootnoteReference"/>
        </w:rPr>
        <w:footnoteRef/>
      </w:r>
      <w:r>
        <w:t xml:space="preserve"> U.S. Department of Energy (DOE), Building Technologies Office of Energy Efficiency &amp; Renewable Energy. 2014. </w:t>
      </w:r>
      <w:proofErr w:type="spellStart"/>
      <w:r w:rsidRPr="00963238">
        <w:rPr>
          <w:i/>
        </w:rPr>
        <w:t>CALiPER</w:t>
      </w:r>
      <w:proofErr w:type="spellEnd"/>
      <w:r w:rsidRPr="00963238">
        <w:rPr>
          <w:i/>
        </w:rPr>
        <w:t xml:space="preserve"> Application Summary Report 21: Linea</w:t>
      </w:r>
      <w:r>
        <w:rPr>
          <w:i/>
        </w:rPr>
        <w:t>r</w:t>
      </w:r>
      <w:r w:rsidRPr="00963238">
        <w:rPr>
          <w:i/>
        </w:rPr>
        <w:t xml:space="preserve"> (T8) LED Lamps.</w:t>
      </w:r>
      <w:r>
        <w:t xml:space="preserve"> Prepared by the Pacific Northwest National Laboratory (PNNL).</w:t>
      </w:r>
    </w:p>
    <w:p w14:paraId="7CAF21B1" w14:textId="407D99F9" w:rsidR="00FC3474" w:rsidRPr="00963238" w:rsidRDefault="00FC3474" w:rsidP="00963238">
      <w:pPr>
        <w:pStyle w:val="eTRMFootnoteText"/>
        <w:rPr>
          <w:rFonts w:eastAsia="Times New Roman"/>
        </w:rPr>
      </w:pPr>
      <w:r w:rsidRPr="00963238">
        <w:rPr>
          <w:rFonts w:eastAsia="Times New Roman"/>
        </w:rPr>
        <w:t xml:space="preserve">U.S. Department of Energy (DOE), Building Technologies Office of Energy Efficiency &amp; Renewable Energy. 2014. </w:t>
      </w:r>
      <w:proofErr w:type="spellStart"/>
      <w:r w:rsidRPr="00963238">
        <w:rPr>
          <w:rFonts w:eastAsia="Times New Roman"/>
          <w:i/>
          <w:iCs/>
        </w:rPr>
        <w:t>CALiPER</w:t>
      </w:r>
      <w:proofErr w:type="spellEnd"/>
      <w:r w:rsidRPr="00963238">
        <w:rPr>
          <w:rFonts w:eastAsia="Times New Roman"/>
          <w:i/>
          <w:iCs/>
        </w:rPr>
        <w:t xml:space="preserve"> Report 21</w:t>
      </w:r>
      <w:r>
        <w:rPr>
          <w:rFonts w:eastAsia="Times New Roman"/>
          <w:i/>
          <w:iCs/>
        </w:rPr>
        <w:t>.3</w:t>
      </w:r>
      <w:r w:rsidRPr="00963238">
        <w:rPr>
          <w:rFonts w:eastAsia="Times New Roman"/>
          <w:i/>
          <w:iCs/>
        </w:rPr>
        <w:t xml:space="preserve">: </w:t>
      </w:r>
      <w:r>
        <w:rPr>
          <w:rFonts w:eastAsia="Times New Roman"/>
          <w:i/>
          <w:iCs/>
        </w:rPr>
        <w:t xml:space="preserve">Cost-Effectiveness of </w:t>
      </w:r>
      <w:r w:rsidRPr="00963238">
        <w:rPr>
          <w:rFonts w:eastAsia="Times New Roman"/>
          <w:i/>
          <w:iCs/>
        </w:rPr>
        <w:t>Linea</w:t>
      </w:r>
      <w:r>
        <w:rPr>
          <w:rFonts w:eastAsia="Times New Roman"/>
          <w:i/>
          <w:iCs/>
        </w:rPr>
        <w:t>r</w:t>
      </w:r>
      <w:r w:rsidRPr="00963238">
        <w:rPr>
          <w:rFonts w:eastAsia="Times New Roman"/>
          <w:i/>
          <w:iCs/>
        </w:rPr>
        <w:t xml:space="preserve"> (T8) LED Lamps.</w:t>
      </w:r>
      <w:r w:rsidRPr="00963238">
        <w:rPr>
          <w:rFonts w:eastAsia="Times New Roman"/>
        </w:rPr>
        <w:t xml:space="preserve"> Prepared by the Pacific Northwest National Laboratory (PNNL).</w:t>
      </w:r>
    </w:p>
  </w:footnote>
  <w:footnote w:id="2">
    <w:p w14:paraId="7A5BF394" w14:textId="286DC025" w:rsidR="00FC3474" w:rsidRDefault="00FC3474">
      <w:pPr>
        <w:pStyle w:val="FootnoteText"/>
      </w:pPr>
      <w:r>
        <w:rPr>
          <w:rStyle w:val="FootnoteReference"/>
        </w:rPr>
        <w:footnoteRef/>
      </w:r>
      <w:r>
        <w:t xml:space="preserve"> </w:t>
      </w:r>
      <w:r w:rsidRPr="007E4C38">
        <w:t xml:space="preserve">Southern California Edison (SCE). 2015. </w:t>
      </w:r>
      <w:r w:rsidRPr="007E4C38">
        <w:rPr>
          <w:i/>
        </w:rPr>
        <w:t>Linear LED Lamps - Laboratory Performance Assessment.</w:t>
      </w:r>
      <w:r w:rsidRPr="007E4C38">
        <w:t xml:space="preserve"> ET14SCE1040.</w:t>
      </w:r>
    </w:p>
  </w:footnote>
  <w:footnote w:id="3">
    <w:p w14:paraId="2B54EA85" w14:textId="0DC04C28" w:rsidR="00FC3474" w:rsidRDefault="00FC3474">
      <w:pPr>
        <w:pStyle w:val="FootnoteText"/>
      </w:pPr>
      <w:r>
        <w:rPr>
          <w:rStyle w:val="FootnoteReference"/>
        </w:rPr>
        <w:footnoteRef/>
      </w:r>
      <w:r>
        <w:t xml:space="preserve"> </w:t>
      </w:r>
      <w:r w:rsidRPr="00A55AEE">
        <w:rPr>
          <w:rStyle w:val="eTRMFootnoteTextChar"/>
        </w:rPr>
        <w:t>The reference for “</w:t>
      </w:r>
      <w:bookmarkStart w:id="11" w:name="_Hlk6480999"/>
      <w:r w:rsidRPr="00A55AEE">
        <w:rPr>
          <w:rStyle w:val="eTRMFootnoteTextChar"/>
        </w:rPr>
        <w:t>ET15SCE8040</w:t>
      </w:r>
      <w:bookmarkEnd w:id="11"/>
      <w:r w:rsidRPr="00A55AEE">
        <w:rPr>
          <w:rStyle w:val="eTRMFootnoteTextChar"/>
        </w:rPr>
        <w:t>” has not been located.</w:t>
      </w:r>
    </w:p>
  </w:footnote>
  <w:footnote w:id="4">
    <w:p w14:paraId="7A963267" w14:textId="2255AE1D" w:rsidR="00FC3474" w:rsidRDefault="00FC3474">
      <w:pPr>
        <w:pStyle w:val="FootnoteText"/>
      </w:pPr>
      <w:r>
        <w:rPr>
          <w:rStyle w:val="FootnoteReference"/>
        </w:rPr>
        <w:footnoteRef/>
      </w:r>
      <w:r>
        <w:t xml:space="preserve"> Southern California Edison (SCE). (n.d.). “LED Tube Requirements.docx.”</w:t>
      </w:r>
    </w:p>
  </w:footnote>
  <w:footnote w:id="5">
    <w:p w14:paraId="31400706" w14:textId="320007A6" w:rsidR="00FC3474" w:rsidRDefault="00FC3474">
      <w:pPr>
        <w:pStyle w:val="FootnoteText"/>
      </w:pPr>
      <w:r>
        <w:rPr>
          <w:rStyle w:val="FootnoteReference"/>
        </w:rPr>
        <w:footnoteRef/>
      </w:r>
      <w:r>
        <w:t xml:space="preserve"> </w:t>
      </w:r>
      <w:r w:rsidRPr="00EF2EBB">
        <w:t>Southern California Edison (SCE). 2016. "SCE17LG117.0 TLEDCalcs.xlsx"</w:t>
      </w:r>
    </w:p>
  </w:footnote>
  <w:footnote w:id="6">
    <w:p w14:paraId="36937C80" w14:textId="5C67A96F" w:rsidR="00FC3474" w:rsidRDefault="00FC3474">
      <w:pPr>
        <w:pStyle w:val="FootnoteText"/>
      </w:pPr>
      <w:r>
        <w:rPr>
          <w:rStyle w:val="FootnoteReference"/>
        </w:rPr>
        <w:footnoteRef/>
      </w:r>
      <w:r>
        <w:t xml:space="preserve"> </w:t>
      </w:r>
      <w:r w:rsidRPr="000977D5">
        <w:t>Southern California Edison (SCE). 20</w:t>
      </w:r>
      <w:r>
        <w:t>20</w:t>
      </w:r>
      <w:r w:rsidRPr="000977D5">
        <w:t>. “SWLG009-0</w:t>
      </w:r>
      <w:r>
        <w:t>2</w:t>
      </w:r>
      <w:r w:rsidRPr="000977D5">
        <w:t xml:space="preserve"> TLED Delta Watts Calculation.xlsx.” See “SCE Prog Data” tab.</w:t>
      </w:r>
      <w:r>
        <w:t xml:space="preserve"> </w:t>
      </w:r>
    </w:p>
  </w:footnote>
  <w:footnote w:id="7">
    <w:p w14:paraId="3EA161E2" w14:textId="77777777" w:rsidR="00FC3474" w:rsidRDefault="00FC3474" w:rsidP="003B5C13">
      <w:pPr>
        <w:pStyle w:val="FootnoteText"/>
      </w:pPr>
      <w:r>
        <w:rPr>
          <w:rStyle w:val="FootnoteReference"/>
        </w:rPr>
        <w:footnoteRef/>
      </w:r>
      <w:r>
        <w:t xml:space="preserve"> </w:t>
      </w:r>
      <w:r w:rsidRPr="00395502">
        <w:t xml:space="preserve">California Energy Commission (CEC). 2018. </w:t>
      </w:r>
      <w:r w:rsidRPr="00C22209">
        <w:rPr>
          <w:i/>
        </w:rPr>
        <w:t>2019 Building Energy Efficiency Standards for Residential and Nonresidential Buildings (Title 24).</w:t>
      </w:r>
      <w:r w:rsidRPr="00395502">
        <w:t xml:space="preserve"> CEC-400-2018-020-CMF.</w:t>
      </w:r>
    </w:p>
  </w:footnote>
  <w:footnote w:id="8">
    <w:p w14:paraId="5034F26E" w14:textId="26EC1E98" w:rsidR="00FC3474" w:rsidRDefault="00FC3474" w:rsidP="003B5C13">
      <w:pPr>
        <w:pStyle w:val="FootnoteText"/>
      </w:pPr>
      <w:r w:rsidRPr="00BB3A72">
        <w:rPr>
          <w:rStyle w:val="FootnoteReference"/>
        </w:rPr>
        <w:footnoteRef/>
      </w:r>
      <w:r w:rsidRPr="00BB3A72">
        <w:t xml:space="preserve"> </w:t>
      </w:r>
      <w:r w:rsidRPr="000527D0">
        <w:t>California Energy Commission (CEC). 2019.</w:t>
      </w:r>
      <w:r w:rsidRPr="00DC5068">
        <w:rPr>
          <w:i/>
        </w:rPr>
        <w:t xml:space="preserve"> California Code of Regulations Title 20.</w:t>
      </w:r>
      <w:r w:rsidRPr="000527D0">
        <w:t>CEC-140-2019-002.</w:t>
      </w:r>
    </w:p>
  </w:footnote>
  <w:footnote w:id="9">
    <w:p w14:paraId="4B9C42FA" w14:textId="77777777" w:rsidR="00FC3474" w:rsidRPr="00665EB5" w:rsidRDefault="00FC3474" w:rsidP="00251068">
      <w:pPr>
        <w:pStyle w:val="FootnoteText"/>
        <w:rPr>
          <w:rStyle w:val="eTRMFootnoteTextChar"/>
        </w:rPr>
      </w:pPr>
      <w:r>
        <w:rPr>
          <w:rStyle w:val="FootnoteReference"/>
        </w:rPr>
        <w:footnoteRef/>
      </w:r>
      <w:r>
        <w:t xml:space="preserve"> </w:t>
      </w:r>
      <w:r w:rsidRPr="00665EB5">
        <w:t>Code of Federal Regulations at 10 CFR 430.32(n)</w:t>
      </w:r>
      <w:r>
        <w:t xml:space="preserve"> and (m)</w:t>
      </w:r>
      <w:r w:rsidRPr="00665EB5">
        <w:t>.</w:t>
      </w:r>
    </w:p>
  </w:footnote>
  <w:footnote w:id="10">
    <w:p w14:paraId="756797B8" w14:textId="159FBF54" w:rsidR="00FC3474" w:rsidRDefault="00FC3474" w:rsidP="00DC4CD9">
      <w:pPr>
        <w:pStyle w:val="FootnoteText"/>
      </w:pPr>
      <w:r>
        <w:rPr>
          <w:rStyle w:val="FootnoteReference"/>
        </w:rPr>
        <w:footnoteRef/>
      </w:r>
      <w:r>
        <w:t xml:space="preserve"> </w:t>
      </w:r>
      <w:r w:rsidRPr="00DB7AC1">
        <w:t xml:space="preserve">Southern California Edison (SCE). (n.d.) “Historical Account of LED Technology for Linear Fluorescent Lamp and Fixture Replacement.” </w:t>
      </w:r>
    </w:p>
  </w:footnote>
  <w:footnote w:id="11">
    <w:p w14:paraId="6A184E95" w14:textId="77777777" w:rsidR="00FC3474" w:rsidRPr="00956E72" w:rsidRDefault="00FC3474" w:rsidP="00CF7FBF">
      <w:pPr>
        <w:pStyle w:val="FootnoteText"/>
      </w:pPr>
      <w:r w:rsidRPr="00956E72">
        <w:rPr>
          <w:rStyle w:val="FootnoteReference"/>
        </w:rPr>
        <w:footnoteRef/>
      </w:r>
      <w:r w:rsidRPr="00956E72">
        <w:t xml:space="preserve"> U.S. Department of Energy (DOE), Building Technologies Office of Energy Efficiency &amp; Renewable Energy. 2014. </w:t>
      </w:r>
      <w:proofErr w:type="spellStart"/>
      <w:r w:rsidRPr="00956E72">
        <w:rPr>
          <w:i/>
        </w:rPr>
        <w:t>CALiPER</w:t>
      </w:r>
      <w:proofErr w:type="spellEnd"/>
      <w:r w:rsidRPr="00956E72">
        <w:rPr>
          <w:i/>
        </w:rPr>
        <w:t xml:space="preserve"> Report 21.2: Linear (T8) LED Lamp Performance in Five Types of Recessed Troffers.</w:t>
      </w:r>
      <w:r w:rsidRPr="00956E72">
        <w:t xml:space="preserve"> Prepared by the Pacific Northwest National Laboratory (PNNL).</w:t>
      </w:r>
    </w:p>
    <w:p w14:paraId="418B937A" w14:textId="578E2560" w:rsidR="00FC3474" w:rsidRPr="00956E72" w:rsidRDefault="00FC3474" w:rsidP="00CF7FBF">
      <w:pPr>
        <w:pStyle w:val="FootnoteText"/>
      </w:pPr>
      <w:r w:rsidRPr="00956E72">
        <w:t xml:space="preserve">U.S. Department of Energy (DOE), Building Technologies Office of Energy Efficiency &amp; Renewable Energy. 2014. </w:t>
      </w:r>
      <w:proofErr w:type="spellStart"/>
      <w:r w:rsidRPr="00956E72">
        <w:rPr>
          <w:i/>
        </w:rPr>
        <w:t>CALiPER</w:t>
      </w:r>
      <w:proofErr w:type="spellEnd"/>
      <w:r w:rsidRPr="00956E72">
        <w:rPr>
          <w:i/>
        </w:rPr>
        <w:t xml:space="preserve"> Report 21.2: Linear (T8) LED Lamp Performance in Five Types of Recessed Troffers.</w:t>
      </w:r>
      <w:r w:rsidRPr="00956E72">
        <w:t xml:space="preserve"> Prepared by the Pacific Northwest National Laboratory (PNNL).</w:t>
      </w:r>
    </w:p>
    <w:p w14:paraId="22A597FF" w14:textId="6344620C" w:rsidR="00FC3474" w:rsidRPr="00956E72" w:rsidRDefault="00FC3474" w:rsidP="00CF7FBF">
      <w:pPr>
        <w:pStyle w:val="FootnoteText"/>
      </w:pPr>
      <w:bookmarkStart w:id="45" w:name="_Hlk6481436"/>
      <w:r w:rsidRPr="00956E72">
        <w:t xml:space="preserve">U.S. Department of Energy. 2009. </w:t>
      </w:r>
      <w:r>
        <w:t>“</w:t>
      </w:r>
      <w:r w:rsidRPr="00956E72">
        <w:t xml:space="preserve">DOE SSL </w:t>
      </w:r>
      <w:proofErr w:type="spellStart"/>
      <w:r w:rsidRPr="00956E72">
        <w:t>CALiPER</w:t>
      </w:r>
      <w:proofErr w:type="spellEnd"/>
      <w:r w:rsidRPr="00956E72">
        <w:t xml:space="preserve"> Report: Product Test Reference: </w:t>
      </w:r>
      <w:proofErr w:type="spellStart"/>
      <w:r w:rsidRPr="00956E72">
        <w:t>CALiPER</w:t>
      </w:r>
      <w:proofErr w:type="spellEnd"/>
      <w:r w:rsidRPr="00956E72">
        <w:t xml:space="preserve"> 09-67 2’x4’ Troffer Fluorescent Benchmark.</w:t>
      </w:r>
      <w:r>
        <w:t>”</w:t>
      </w:r>
      <w:r w:rsidRPr="00956E72">
        <w:t xml:space="preserve">  </w:t>
      </w:r>
    </w:p>
    <w:p w14:paraId="45C4E1F6" w14:textId="15AB57DF" w:rsidR="00FC3474" w:rsidRPr="00956E72" w:rsidRDefault="00FC3474" w:rsidP="00CF7FBF">
      <w:pPr>
        <w:pStyle w:val="FootnoteText"/>
      </w:pPr>
      <w:r w:rsidRPr="00956E72">
        <w:t xml:space="preserve">U.S. Department of Energy. 2009. </w:t>
      </w:r>
      <w:r>
        <w:t>“</w:t>
      </w:r>
      <w:r w:rsidRPr="00956E72">
        <w:t xml:space="preserve">DOE SSL </w:t>
      </w:r>
      <w:proofErr w:type="spellStart"/>
      <w:r w:rsidRPr="00956E72">
        <w:t>CALiPER</w:t>
      </w:r>
      <w:proofErr w:type="spellEnd"/>
      <w:r w:rsidRPr="00956E72">
        <w:t xml:space="preserve"> Report: Product Test Reference: </w:t>
      </w:r>
      <w:proofErr w:type="spellStart"/>
      <w:r w:rsidRPr="00956E72">
        <w:t>CALiPER</w:t>
      </w:r>
      <w:proofErr w:type="spellEnd"/>
      <w:r w:rsidRPr="00956E72">
        <w:t xml:space="preserve"> 09-73 24”x24” Troffer Benchmark Fluorescent.</w:t>
      </w:r>
      <w:r>
        <w:t>”</w:t>
      </w:r>
      <w:r w:rsidRPr="00956E72">
        <w:t xml:space="preserve">  </w:t>
      </w:r>
      <w:bookmarkEnd w:id="45"/>
    </w:p>
  </w:footnote>
  <w:footnote w:id="12">
    <w:p w14:paraId="2C6F638E" w14:textId="77777777" w:rsidR="00FC3474" w:rsidRPr="00956E72" w:rsidRDefault="00FC3474" w:rsidP="00485A80">
      <w:pPr>
        <w:pStyle w:val="FootnoteText"/>
      </w:pPr>
      <w:r w:rsidRPr="00956E72">
        <w:rPr>
          <w:rStyle w:val="FootnoteReference"/>
        </w:rPr>
        <w:footnoteRef/>
      </w:r>
      <w:r w:rsidRPr="00956E72">
        <w:t xml:space="preserve"> U.S. Department of Energy (DOE), Building Technologies Office of Energy Efficiency &amp; Renewable Energy. 2014. </w:t>
      </w:r>
      <w:proofErr w:type="spellStart"/>
      <w:r w:rsidRPr="00956E72">
        <w:rPr>
          <w:i/>
        </w:rPr>
        <w:t>CALiPER</w:t>
      </w:r>
      <w:proofErr w:type="spellEnd"/>
      <w:r w:rsidRPr="00956E72">
        <w:rPr>
          <w:i/>
        </w:rPr>
        <w:t xml:space="preserve"> Report 21.2: Linear (T8) LED Lamp Performance in Five Types of Recessed Troffers.</w:t>
      </w:r>
      <w:r w:rsidRPr="00956E72">
        <w:t xml:space="preserve"> Prepared by the Pacific Northwest National Laboratory (PNNL).</w:t>
      </w:r>
    </w:p>
    <w:p w14:paraId="484B1833" w14:textId="77777777" w:rsidR="00FC3474" w:rsidRPr="00956E72" w:rsidRDefault="00FC3474" w:rsidP="00485A80">
      <w:pPr>
        <w:pStyle w:val="FootnoteText"/>
      </w:pPr>
      <w:r w:rsidRPr="00956E72">
        <w:t xml:space="preserve">U.S. Department of Energy (DOE), Building Technologies Office of Energy Efficiency &amp; Renewable Energy. 2014. </w:t>
      </w:r>
      <w:proofErr w:type="spellStart"/>
      <w:r w:rsidRPr="00956E72">
        <w:rPr>
          <w:i/>
        </w:rPr>
        <w:t>CALiPER</w:t>
      </w:r>
      <w:proofErr w:type="spellEnd"/>
      <w:r w:rsidRPr="00956E72">
        <w:rPr>
          <w:i/>
        </w:rPr>
        <w:t xml:space="preserve"> Report 21.2: Linear (T8) LED Lamp Performance in Five Types of Recessed Troffers.</w:t>
      </w:r>
      <w:r w:rsidRPr="00956E72">
        <w:t xml:space="preserve"> Prepared by the Pacific Northwest National Laboratory (PNNL).</w:t>
      </w:r>
    </w:p>
    <w:p w14:paraId="03EC3FA9" w14:textId="77777777" w:rsidR="00FC3474" w:rsidRPr="00956E72" w:rsidRDefault="00FC3474" w:rsidP="00485A80">
      <w:pPr>
        <w:pStyle w:val="FootnoteText"/>
      </w:pPr>
      <w:r w:rsidRPr="00956E72">
        <w:t xml:space="preserve">U.S. Department of Energy. 2009. </w:t>
      </w:r>
      <w:r>
        <w:t>“</w:t>
      </w:r>
      <w:r w:rsidRPr="00956E72">
        <w:t xml:space="preserve">DOE SSL </w:t>
      </w:r>
      <w:proofErr w:type="spellStart"/>
      <w:r w:rsidRPr="00956E72">
        <w:t>CALiPER</w:t>
      </w:r>
      <w:proofErr w:type="spellEnd"/>
      <w:r w:rsidRPr="00956E72">
        <w:t xml:space="preserve"> Report: Product Test Reference: </w:t>
      </w:r>
      <w:proofErr w:type="spellStart"/>
      <w:r w:rsidRPr="00956E72">
        <w:t>CALiPER</w:t>
      </w:r>
      <w:proofErr w:type="spellEnd"/>
      <w:r w:rsidRPr="00956E72">
        <w:t xml:space="preserve"> 09-67 2’x4’ Troffer Fluorescent Benchmark.</w:t>
      </w:r>
      <w:r>
        <w:t>”</w:t>
      </w:r>
      <w:r w:rsidRPr="00956E72">
        <w:t xml:space="preserve">  </w:t>
      </w:r>
    </w:p>
    <w:p w14:paraId="1952F5C9" w14:textId="77777777" w:rsidR="00FC3474" w:rsidRPr="00956E72" w:rsidRDefault="00FC3474" w:rsidP="00485A80">
      <w:pPr>
        <w:pStyle w:val="FootnoteText"/>
      </w:pPr>
      <w:r w:rsidRPr="00956E72">
        <w:t xml:space="preserve">U.S. Department of Energy. 2009. </w:t>
      </w:r>
      <w:r>
        <w:t>“</w:t>
      </w:r>
      <w:r w:rsidRPr="00956E72">
        <w:t xml:space="preserve">DOE SSL </w:t>
      </w:r>
      <w:proofErr w:type="spellStart"/>
      <w:r w:rsidRPr="00956E72">
        <w:t>CALiPER</w:t>
      </w:r>
      <w:proofErr w:type="spellEnd"/>
      <w:r w:rsidRPr="00956E72">
        <w:t xml:space="preserve"> Report: Product Test Reference: </w:t>
      </w:r>
      <w:proofErr w:type="spellStart"/>
      <w:r w:rsidRPr="00956E72">
        <w:t>CALiPER</w:t>
      </w:r>
      <w:proofErr w:type="spellEnd"/>
      <w:r w:rsidRPr="00956E72">
        <w:t xml:space="preserve"> 09-73 24”x24” Troffer Benchmark Fluorescent.</w:t>
      </w:r>
      <w:r>
        <w:t>”</w:t>
      </w:r>
      <w:r w:rsidRPr="00956E72">
        <w:t xml:space="preserve">  </w:t>
      </w:r>
    </w:p>
  </w:footnote>
  <w:footnote w:id="13">
    <w:p w14:paraId="2D1D696B" w14:textId="7373A199" w:rsidR="00FC3474" w:rsidRDefault="00FC3474" w:rsidP="00CF7FBF">
      <w:pPr>
        <w:pStyle w:val="FootnoteText"/>
      </w:pPr>
      <w:r w:rsidRPr="00956E72">
        <w:rPr>
          <w:rStyle w:val="FootnoteReference"/>
        </w:rPr>
        <w:footnoteRef/>
      </w:r>
      <w:r w:rsidRPr="00956E72">
        <w:t xml:space="preserve"> U.S. Department of Energy. 2010. </w:t>
      </w:r>
      <w:r>
        <w:t>“</w:t>
      </w:r>
      <w:r w:rsidRPr="00956E72">
        <w:t xml:space="preserve">DOE SSL </w:t>
      </w:r>
      <w:proofErr w:type="spellStart"/>
      <w:r w:rsidRPr="00956E72">
        <w:t>CALiPER</w:t>
      </w:r>
      <w:proofErr w:type="spellEnd"/>
      <w:r w:rsidRPr="00956E72">
        <w:t xml:space="preserve"> Report: Product Test Reference: </w:t>
      </w:r>
      <w:proofErr w:type="spellStart"/>
      <w:r w:rsidRPr="00956E72">
        <w:t>CALiPER</w:t>
      </w:r>
      <w:proofErr w:type="spellEnd"/>
      <w:r w:rsidRPr="00956E72">
        <w:t xml:space="preserve"> BK 09-108 Parking Structure Fluorescent.</w:t>
      </w:r>
      <w:r>
        <w:t>”</w:t>
      </w:r>
    </w:p>
    <w:p w14:paraId="5C61F98C" w14:textId="788B8C83" w:rsidR="00FC3474" w:rsidRDefault="00FC3474" w:rsidP="00CF7FBF">
      <w:pPr>
        <w:pStyle w:val="FootnoteText"/>
      </w:pPr>
      <w:r w:rsidRPr="00451669">
        <w:t xml:space="preserve">U.S. Department of Energy (DOE). 2012. "DOE </w:t>
      </w:r>
      <w:proofErr w:type="spellStart"/>
      <w:r w:rsidRPr="00451669">
        <w:t>CALiPER</w:t>
      </w:r>
      <w:proofErr w:type="spellEnd"/>
      <w:r w:rsidRPr="00451669">
        <w:t xml:space="preserve"> Detailed Test Report: </w:t>
      </w:r>
      <w:proofErr w:type="spellStart"/>
      <w:r w:rsidRPr="00451669">
        <w:t>CALiPER</w:t>
      </w:r>
      <w:proofErr w:type="spellEnd"/>
      <w:r w:rsidRPr="00451669">
        <w:t xml:space="preserve"> Reference: 11-79 Linear Pendant."</w:t>
      </w:r>
    </w:p>
  </w:footnote>
  <w:footnote w:id="14">
    <w:p w14:paraId="35AF5B3C" w14:textId="521D3E79" w:rsidR="00FC3474" w:rsidRDefault="00FC3474" w:rsidP="00CF7FBF">
      <w:pPr>
        <w:pStyle w:val="FootnoteText"/>
      </w:pPr>
      <w:r>
        <w:rPr>
          <w:rStyle w:val="FootnoteReference"/>
        </w:rPr>
        <w:footnoteRef/>
      </w:r>
      <w:r>
        <w:t xml:space="preserve"> </w:t>
      </w:r>
      <w:r w:rsidRPr="005D2D0C">
        <w:t>U.S. Department of Energy (DOE), Building Technologies Office of Energy Efficiency &amp; Renewable Energy. 2013</w:t>
      </w:r>
      <w:r w:rsidRPr="00251068">
        <w:rPr>
          <w:i/>
        </w:rPr>
        <w:t xml:space="preserve">. </w:t>
      </w:r>
      <w:proofErr w:type="spellStart"/>
      <w:r w:rsidRPr="00251068">
        <w:rPr>
          <w:i/>
        </w:rPr>
        <w:t>CALiPER</w:t>
      </w:r>
      <w:proofErr w:type="spellEnd"/>
      <w:r w:rsidRPr="00251068">
        <w:rPr>
          <w:i/>
        </w:rPr>
        <w:t xml:space="preserve"> Exploratory Study: Recessed Troffer Lighting.</w:t>
      </w:r>
      <w:r w:rsidRPr="005D2D0C">
        <w:t xml:space="preserve"> Prepared by the Pacific Northwest National Laboratory (PNNL).</w:t>
      </w:r>
      <w:r>
        <w:t xml:space="preserve"> Revised June 2013.</w:t>
      </w:r>
    </w:p>
  </w:footnote>
  <w:footnote w:id="15">
    <w:p w14:paraId="234BCB70" w14:textId="77777777" w:rsidR="00FC3474" w:rsidRDefault="00FC3474" w:rsidP="00CF7FBF">
      <w:pPr>
        <w:pStyle w:val="FootnoteText"/>
      </w:pPr>
      <w:r w:rsidRPr="00956E72">
        <w:rPr>
          <w:rStyle w:val="FootnoteReference"/>
        </w:rPr>
        <w:footnoteRef/>
      </w:r>
      <w:r w:rsidRPr="00956E72">
        <w:t xml:space="preserve"> U.S. Department of Energy (DOE), Building Technologies Office of Energy Efficiency &amp; Renewable Energy. 2014. </w:t>
      </w:r>
      <w:proofErr w:type="spellStart"/>
      <w:r w:rsidRPr="00956E72">
        <w:rPr>
          <w:i/>
        </w:rPr>
        <w:t>CALiPER</w:t>
      </w:r>
      <w:proofErr w:type="spellEnd"/>
      <w:r w:rsidRPr="00956E72">
        <w:rPr>
          <w:i/>
        </w:rPr>
        <w:t xml:space="preserve"> Report 21.2: Linear (T8) LED Lamp Performance in Five Types of Recessed Troffers. </w:t>
      </w:r>
      <w:r w:rsidRPr="00956E72">
        <w:t>Prepared by the Pacific Northwest National Laboratory (PNNL).</w:t>
      </w:r>
    </w:p>
  </w:footnote>
  <w:footnote w:id="16">
    <w:p w14:paraId="1D2620B3" w14:textId="77777777" w:rsidR="00FC3474" w:rsidRDefault="00FC3474" w:rsidP="00485A80">
      <w:pPr>
        <w:pStyle w:val="FootnoteText"/>
      </w:pPr>
      <w:r>
        <w:rPr>
          <w:rStyle w:val="FootnoteReference"/>
        </w:rPr>
        <w:footnoteRef/>
      </w:r>
      <w:r>
        <w:t xml:space="preserve"> </w:t>
      </w:r>
      <w:r w:rsidRPr="005D2D0C">
        <w:t>U.S. Department of Energy (DOE), Building Technologies Office of Energy Efficiency &amp; Renewable Energy. 2013</w:t>
      </w:r>
      <w:r w:rsidRPr="00251068">
        <w:rPr>
          <w:i/>
        </w:rPr>
        <w:t xml:space="preserve">. </w:t>
      </w:r>
      <w:proofErr w:type="spellStart"/>
      <w:r w:rsidRPr="00251068">
        <w:rPr>
          <w:i/>
        </w:rPr>
        <w:t>CALiPER</w:t>
      </w:r>
      <w:proofErr w:type="spellEnd"/>
      <w:r w:rsidRPr="00251068">
        <w:rPr>
          <w:i/>
        </w:rPr>
        <w:t xml:space="preserve"> Exploratory Study: Recessed Troffer Lighting.</w:t>
      </w:r>
      <w:r w:rsidRPr="005D2D0C">
        <w:t xml:space="preserve"> Prepared by the Pacific Northwest National Laboratory (PNNL).</w:t>
      </w:r>
      <w:r>
        <w:t xml:space="preserve"> Revised June 2013.</w:t>
      </w:r>
    </w:p>
  </w:footnote>
  <w:footnote w:id="17">
    <w:p w14:paraId="739744A6" w14:textId="77777777" w:rsidR="00FC3474" w:rsidRPr="00956E72" w:rsidRDefault="00FC3474" w:rsidP="002E7C15">
      <w:pPr>
        <w:pStyle w:val="FootnoteText"/>
      </w:pPr>
      <w:r w:rsidRPr="00956E72">
        <w:rPr>
          <w:rStyle w:val="FootnoteReference"/>
        </w:rPr>
        <w:footnoteRef/>
      </w:r>
      <w:r w:rsidRPr="00956E72">
        <w:t xml:space="preserve"> U.S. Department of Energy (DOE), Building Technologies Office of Energy Efficiency &amp; Renewable Energy. 2014. </w:t>
      </w:r>
      <w:proofErr w:type="spellStart"/>
      <w:r w:rsidRPr="00956E72">
        <w:rPr>
          <w:i/>
        </w:rPr>
        <w:t>CALiPER</w:t>
      </w:r>
      <w:proofErr w:type="spellEnd"/>
      <w:r w:rsidRPr="00956E72">
        <w:rPr>
          <w:i/>
        </w:rPr>
        <w:t xml:space="preserve"> Report 21.2: Linear (T8) LED Lamp Performance in Five Types of Recessed Troffers. </w:t>
      </w:r>
      <w:r w:rsidRPr="00956E72">
        <w:t>Prepared by the Pacific Northwest National Laboratory (PNNL).</w:t>
      </w:r>
    </w:p>
    <w:p w14:paraId="0D3187FF" w14:textId="77777777" w:rsidR="00FC3474" w:rsidRPr="00956E72" w:rsidRDefault="00FC3474" w:rsidP="002E7C15">
      <w:pPr>
        <w:pStyle w:val="FootnoteText"/>
      </w:pPr>
      <w:r w:rsidRPr="00956E72">
        <w:t xml:space="preserve">U.S. Department of Energy (DOE), Building Technologies Office of Energy Efficiency &amp; Renewable Energy. 2009. </w:t>
      </w:r>
      <w:proofErr w:type="spellStart"/>
      <w:r w:rsidRPr="00956E72">
        <w:rPr>
          <w:i/>
        </w:rPr>
        <w:t>CALiPER</w:t>
      </w:r>
      <w:proofErr w:type="spellEnd"/>
      <w:r w:rsidRPr="00956E72">
        <w:rPr>
          <w:i/>
        </w:rPr>
        <w:t xml:space="preserve"> Benchmark Report: Performance of T12 and T8 Fluorescent Lamps and Troffers and LED Linear Replacement Lamps.</w:t>
      </w:r>
      <w:r w:rsidRPr="00956E72">
        <w:t xml:space="preserve"> Prepared by the Pacific Northwest National Laboratory (PNNL).</w:t>
      </w:r>
    </w:p>
  </w:footnote>
  <w:footnote w:id="18">
    <w:p w14:paraId="403B067F" w14:textId="77777777" w:rsidR="00FC3474" w:rsidRPr="00956E72" w:rsidRDefault="00FC3474" w:rsidP="002E7C15">
      <w:pPr>
        <w:pStyle w:val="FootnoteText"/>
      </w:pPr>
      <w:r w:rsidRPr="00956E72">
        <w:rPr>
          <w:rStyle w:val="FootnoteReference"/>
        </w:rPr>
        <w:footnoteRef/>
      </w:r>
      <w:r w:rsidRPr="00956E72">
        <w:t xml:space="preserve"> U.S. Department of Energy. 2010. </w:t>
      </w:r>
      <w:r w:rsidRPr="00956E72">
        <w:rPr>
          <w:i/>
        </w:rPr>
        <w:t xml:space="preserve">DOE SSL </w:t>
      </w:r>
      <w:proofErr w:type="spellStart"/>
      <w:r w:rsidRPr="00956E72">
        <w:rPr>
          <w:i/>
        </w:rPr>
        <w:t>CALiPER</w:t>
      </w:r>
      <w:proofErr w:type="spellEnd"/>
      <w:r w:rsidRPr="00956E72">
        <w:rPr>
          <w:i/>
        </w:rPr>
        <w:t xml:space="preserve"> Report: Product Test Reference: </w:t>
      </w:r>
      <w:proofErr w:type="spellStart"/>
      <w:r w:rsidRPr="00956E72">
        <w:rPr>
          <w:i/>
        </w:rPr>
        <w:t>CALiPER</w:t>
      </w:r>
      <w:proofErr w:type="spellEnd"/>
      <w:r w:rsidRPr="00956E72">
        <w:rPr>
          <w:i/>
        </w:rPr>
        <w:t xml:space="preserve"> BK 09-108 Parking Structure Fluorescent.</w:t>
      </w:r>
    </w:p>
  </w:footnote>
  <w:footnote w:id="19">
    <w:p w14:paraId="5990C7FB" w14:textId="68BCF8DC" w:rsidR="00FC3474" w:rsidRDefault="00FC3474" w:rsidP="003B1C2D">
      <w:pPr>
        <w:pStyle w:val="FootnoteText"/>
      </w:pPr>
      <w:r w:rsidRPr="00956E72">
        <w:rPr>
          <w:rStyle w:val="FootnoteReference"/>
        </w:rPr>
        <w:footnoteRef/>
      </w:r>
      <w:r w:rsidRPr="00956E72">
        <w:t xml:space="preserve"> </w:t>
      </w:r>
      <w:r w:rsidRPr="00A3514A">
        <w:t>California Public Utilities Commission (CPUC), Energy Division. 2016. “Disposition for Workpaper SCE13LG123 revision 0.” September 30.</w:t>
      </w:r>
    </w:p>
  </w:footnote>
  <w:footnote w:id="20">
    <w:p w14:paraId="2254D25C" w14:textId="77777777" w:rsidR="00FC3474" w:rsidRDefault="00FC3474" w:rsidP="003B1C2D">
      <w:pPr>
        <w:pStyle w:val="FootnoteText"/>
      </w:pPr>
      <w:r>
        <w:rPr>
          <w:rStyle w:val="FootnoteReference"/>
        </w:rPr>
        <w:footnoteRef/>
      </w:r>
      <w:r>
        <w:t xml:space="preserve"> </w:t>
      </w:r>
      <w:r w:rsidRPr="00C46168">
        <w:t xml:space="preserve">California Energy Commission (CEC). 2015. </w:t>
      </w:r>
      <w:r w:rsidRPr="00C46168">
        <w:rPr>
          <w:i/>
        </w:rPr>
        <w:t>2016 Building Energy Efficiency Standards for Residential and Nonresidential Buildings.</w:t>
      </w:r>
      <w:r w:rsidRPr="00A547E1">
        <w:t xml:space="preserve"> CEC-400-2015-037-CMF. </w:t>
      </w:r>
      <w:r w:rsidRPr="003C1C2E">
        <w:t>Section 130.2(c)3</w:t>
      </w:r>
    </w:p>
  </w:footnote>
  <w:footnote w:id="21">
    <w:p w14:paraId="277EE21C" w14:textId="536FD1C9" w:rsidR="00FC3474" w:rsidRDefault="00FC3474">
      <w:pPr>
        <w:pStyle w:val="FootnoteText"/>
      </w:pPr>
      <w:r>
        <w:rPr>
          <w:rStyle w:val="FootnoteReference"/>
        </w:rPr>
        <w:footnoteRef/>
      </w:r>
      <w:r>
        <w:t xml:space="preserve"> </w:t>
      </w:r>
      <w:bookmarkStart w:id="51" w:name="_Hlk7466468"/>
      <w:r>
        <w:t xml:space="preserve">California Public Utilities Commission (CPUC), Energy Division. 2017. “Disposition </w:t>
      </w:r>
      <w:proofErr w:type="gramStart"/>
      <w:r>
        <w:t>For</w:t>
      </w:r>
      <w:proofErr w:type="gramEnd"/>
      <w:r>
        <w:t xml:space="preserve"> Workpapers Covering Exterior LED Lighting Fixtures.” March 1. </w:t>
      </w:r>
      <w:bookmarkEnd w:id="51"/>
    </w:p>
  </w:footnote>
  <w:footnote w:id="22">
    <w:p w14:paraId="058630FB" w14:textId="77777777" w:rsidR="00FC3474" w:rsidRDefault="00FC3474" w:rsidP="00AC4997">
      <w:pPr>
        <w:pStyle w:val="FootnoteText"/>
      </w:pPr>
      <w:r>
        <w:rPr>
          <w:rStyle w:val="FootnoteReference"/>
        </w:rPr>
        <w:footnoteRef/>
      </w:r>
      <w:r>
        <w:t xml:space="preserve"> Pacific Gas and Electric Company (PG&amp;E). 2018. </w:t>
      </w:r>
      <w:r w:rsidRPr="003E713A">
        <w:rPr>
          <w:i/>
        </w:rPr>
        <w:t>Work Paper PGECOLTG151 LED Outdoor Area and Street Lighting Revision 8</w:t>
      </w:r>
      <w:r>
        <w:t>. April 11.</w:t>
      </w:r>
    </w:p>
  </w:footnote>
  <w:footnote w:id="23">
    <w:p w14:paraId="2C7045F0" w14:textId="0C221918" w:rsidR="00FC3474" w:rsidRDefault="00FC3474" w:rsidP="00AC4997">
      <w:pPr>
        <w:pStyle w:val="FootnoteText"/>
      </w:pPr>
      <w:r w:rsidRPr="00956E72">
        <w:rPr>
          <w:rStyle w:val="FootnoteReference"/>
        </w:rPr>
        <w:footnoteRef/>
      </w:r>
      <w:r w:rsidRPr="00956E72">
        <w:t xml:space="preserve"> </w:t>
      </w:r>
      <w:r w:rsidRPr="00A3514A">
        <w:t>California Public Utilities Commission (CPUC), Energy Division. 2016. “Disposition for Workpaper SCE13LG123 revision 0.” September 30.</w:t>
      </w:r>
    </w:p>
  </w:footnote>
  <w:footnote w:id="24">
    <w:p w14:paraId="6A37C0C2" w14:textId="77777777" w:rsidR="00FC3474" w:rsidRDefault="00FC3474" w:rsidP="00AC4997">
      <w:pPr>
        <w:pStyle w:val="FootnoteText"/>
      </w:pPr>
      <w:r>
        <w:rPr>
          <w:rStyle w:val="FootnoteReference"/>
        </w:rPr>
        <w:footnoteRef/>
      </w:r>
      <w:r>
        <w:t xml:space="preserve"> </w:t>
      </w:r>
      <w:r w:rsidRPr="00C46168">
        <w:t xml:space="preserve">California Energy Commission (CEC). 2015. </w:t>
      </w:r>
      <w:r w:rsidRPr="00C46168">
        <w:rPr>
          <w:i/>
        </w:rPr>
        <w:t>2016 Building Energy Efficiency Standards for Residential and Nonresidential Buildings.</w:t>
      </w:r>
      <w:r w:rsidRPr="00A547E1">
        <w:t xml:space="preserve"> CEC-400-2015-037-CMF. </w:t>
      </w:r>
      <w:r w:rsidRPr="003C1C2E">
        <w:t>Section 130.2(c)3</w:t>
      </w:r>
    </w:p>
  </w:footnote>
  <w:footnote w:id="25">
    <w:p w14:paraId="77EAB1A2" w14:textId="77777777" w:rsidR="00FC3474" w:rsidRDefault="00FC3474" w:rsidP="00AC4997">
      <w:pPr>
        <w:pStyle w:val="FootnoteText"/>
      </w:pPr>
      <w:r>
        <w:rPr>
          <w:rStyle w:val="FootnoteReference"/>
        </w:rPr>
        <w:footnoteRef/>
      </w:r>
      <w:r>
        <w:t xml:space="preserve"> California Public Utilities Commission (CPUC), Energy Division. 2017. “Disposition </w:t>
      </w:r>
      <w:proofErr w:type="gramStart"/>
      <w:r>
        <w:t>For</w:t>
      </w:r>
      <w:proofErr w:type="gramEnd"/>
      <w:r>
        <w:t xml:space="preserve"> Workpapers Covering Exterior LED Lighting Fixtures.” March 1. </w:t>
      </w:r>
    </w:p>
  </w:footnote>
  <w:footnote w:id="26">
    <w:p w14:paraId="0112F6AF" w14:textId="77777777" w:rsidR="00FC3474" w:rsidRDefault="00FC3474" w:rsidP="00C82F03">
      <w:pPr>
        <w:pStyle w:val="FootnoteText"/>
      </w:pPr>
      <w:r>
        <w:rPr>
          <w:rStyle w:val="FootnoteReference"/>
        </w:rPr>
        <w:footnoteRef/>
      </w:r>
      <w:r>
        <w:t xml:space="preserve"> Pacific Gas and Electric Company (PG&amp;E). 2018. </w:t>
      </w:r>
      <w:r w:rsidRPr="003E713A">
        <w:rPr>
          <w:i/>
        </w:rPr>
        <w:t>Work Paper PGECOLTG151 LED Outdoor Area and Street Lighting Revision 8</w:t>
      </w:r>
      <w:r>
        <w:t>. April 11.</w:t>
      </w:r>
    </w:p>
  </w:footnote>
  <w:footnote w:id="27">
    <w:p w14:paraId="42D974F7" w14:textId="77777777" w:rsidR="00FC3474" w:rsidRDefault="00FC3474" w:rsidP="00AA5496">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6745E0">
        <w:rPr>
          <w:i/>
        </w:rPr>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28">
    <w:p w14:paraId="0FBD2664" w14:textId="77777777" w:rsidR="00FC3474" w:rsidRDefault="00FC3474" w:rsidP="00997897">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29">
    <w:p w14:paraId="66768E83" w14:textId="77777777" w:rsidR="00FC3474" w:rsidRDefault="00FC3474" w:rsidP="00997897">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30">
    <w:p w14:paraId="1A60418D" w14:textId="69ACAF2A" w:rsidR="00FC3474" w:rsidRDefault="00FC3474">
      <w:pPr>
        <w:pStyle w:val="FootnoteText"/>
      </w:pPr>
      <w:r>
        <w:rPr>
          <w:rStyle w:val="FootnoteReference"/>
        </w:rPr>
        <w:footnoteRef/>
      </w:r>
      <w:r>
        <w:t xml:space="preserve"> Southern California Edison (SCE). 2020.</w:t>
      </w:r>
      <w:r w:rsidRPr="00956E72">
        <w:t xml:space="preserve"> “SWLG009-0</w:t>
      </w:r>
      <w:r>
        <w:t>2</w:t>
      </w:r>
      <w:r w:rsidRPr="00956E72">
        <w:t xml:space="preserve"> Cost Calculations</w:t>
      </w:r>
      <w:r>
        <w:t>.xlsx.</w:t>
      </w:r>
      <w:r w:rsidRPr="00956E72">
        <w:t>”</w:t>
      </w:r>
      <w:r>
        <w:t xml:space="preserve"> </w:t>
      </w:r>
    </w:p>
  </w:footnote>
  <w:footnote w:id="31">
    <w:p w14:paraId="32AA56BA" w14:textId="77777777" w:rsidR="00FC3474" w:rsidRDefault="00FC3474" w:rsidP="00837F60">
      <w:pPr>
        <w:pStyle w:val="FootnoteText"/>
      </w:pPr>
      <w:r>
        <w:rPr>
          <w:rStyle w:val="FootnoteReference"/>
        </w:rPr>
        <w:footnoteRef/>
      </w:r>
      <w:r>
        <w:t xml:space="preserve"> Southern California Edison (SCE). 2020.</w:t>
      </w:r>
      <w:r w:rsidRPr="00956E72">
        <w:t xml:space="preserve"> “SWLG009-0</w:t>
      </w:r>
      <w:r>
        <w:t>2</w:t>
      </w:r>
      <w:r w:rsidRPr="00956E72">
        <w:t xml:space="preserve"> Cost Calculations</w:t>
      </w:r>
      <w:r>
        <w:t>.xlsx.</w:t>
      </w:r>
      <w:r w:rsidRPr="00956E72">
        <w:t>”</w:t>
      </w:r>
      <w:r>
        <w:t xml:space="preserve"> </w:t>
      </w:r>
    </w:p>
  </w:footnote>
  <w:footnote w:id="32">
    <w:p w14:paraId="3E5842AE" w14:textId="495B85B7" w:rsidR="00FC3474" w:rsidRDefault="00FC3474" w:rsidP="00932A15">
      <w:pPr>
        <w:pStyle w:val="FootnoteText"/>
      </w:pPr>
      <w:r>
        <w:rPr>
          <w:rStyle w:val="FootnoteReference"/>
        </w:rPr>
        <w:footnoteRef/>
      </w:r>
      <w:r>
        <w:t xml:space="preserve"> Southern California Edison (SCE). 2020.</w:t>
      </w:r>
      <w:r w:rsidRPr="00956E72">
        <w:t xml:space="preserve"> “SWLG009-0</w:t>
      </w:r>
      <w:r>
        <w:t>2</w:t>
      </w:r>
      <w:r w:rsidRPr="00956E72">
        <w:t xml:space="preserve"> Cost Calculations</w:t>
      </w:r>
      <w:r>
        <w:t>.xlsx.</w:t>
      </w:r>
      <w:r w:rsidRPr="00956E72">
        <w:t>”</w:t>
      </w:r>
      <w:r>
        <w:t xml:space="preserve"> </w:t>
      </w:r>
    </w:p>
  </w:footnote>
  <w:footnote w:id="33">
    <w:p w14:paraId="7847739A" w14:textId="76B4BF61" w:rsidR="00FC3474" w:rsidRDefault="00FC3474">
      <w:pPr>
        <w:pStyle w:val="FootnoteText"/>
      </w:pPr>
      <w:r>
        <w:rPr>
          <w:rStyle w:val="FootnoteReference"/>
        </w:rPr>
        <w:footnoteRef/>
      </w:r>
      <w:r>
        <w:t xml:space="preserve"> RSMeans Labor Rates, 2020. </w:t>
      </w:r>
      <w:hyperlink r:id="rId1" w:history="1">
        <w:r>
          <w:rPr>
            <w:rStyle w:val="Hyperlink"/>
          </w:rPr>
          <w:t>https://www.rsmeansonline.com/References/LABORRATE/2-Year%202020%20Labor%20Rates/Open%20Shop%20Labor%20Rates.PDF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F85F6" w14:textId="77777777" w:rsidR="00FC3474" w:rsidRPr="000220A0" w:rsidRDefault="00FC3474"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79101" w14:textId="77777777" w:rsidR="00FC3474" w:rsidRDefault="00FC3474">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7AE2AE9F" w14:textId="77777777" w:rsidR="00FC3474" w:rsidRDefault="00FC34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B6071" w14:textId="77777777" w:rsidR="00FC3474" w:rsidRDefault="00FC3474" w:rsidP="00BD221D">
    <w:pPr>
      <w:jc w:val="center"/>
    </w:pPr>
  </w:p>
  <w:p w14:paraId="263FA106" w14:textId="77777777" w:rsidR="00FC3474" w:rsidRDefault="00FC3474" w:rsidP="00BD221D">
    <w:pPr>
      <w:jc w:val="center"/>
    </w:pPr>
    <w:r>
      <w:rPr>
        <w:noProof/>
      </w:rPr>
      <w:drawing>
        <wp:inline distT="0" distB="0" distL="0" distR="0" wp14:anchorId="64F3ED61" wp14:editId="7CE68E22">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94EE9" w14:textId="58E826ED" w:rsidR="00FC3474" w:rsidRDefault="00FC3474" w:rsidP="001D7A57">
    <w:pPr>
      <w:pStyle w:val="Header"/>
    </w:pPr>
    <w:r>
      <w:rPr>
        <w:rFonts w:ascii="Calibri Light" w:hAnsi="Calibri Light"/>
      </w:rPr>
      <w:t xml:space="preserve">LIGHTING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sidRPr="003215F4">
      <w:rPr>
        <w:rFonts w:ascii="Calibri Light" w:hAnsi="Calibri Light"/>
        <w:b/>
      </w:rPr>
      <w:t>LED</w:t>
    </w:r>
    <w:r>
      <w:rPr>
        <w:rFonts w:ascii="Calibri Light" w:hAnsi="Calibri Light"/>
        <w:b/>
      </w:rPr>
      <w:t xml:space="preserve">, Tube </w:t>
    </w:r>
  </w:p>
  <w:p w14:paraId="1434F64C" w14:textId="77777777" w:rsidR="00FC3474" w:rsidRDefault="00FC347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E1B0C" w14:textId="77777777" w:rsidR="00FC3474" w:rsidRDefault="00FC34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22E19"/>
    <w:multiLevelType w:val="hybridMultilevel"/>
    <w:tmpl w:val="0B9EFF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C6685"/>
    <w:multiLevelType w:val="hybridMultilevel"/>
    <w:tmpl w:val="2BB65E9C"/>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507E58"/>
    <w:multiLevelType w:val="hybridMultilevel"/>
    <w:tmpl w:val="751E5E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A12E39"/>
    <w:multiLevelType w:val="hybridMultilevel"/>
    <w:tmpl w:val="1F7E74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0242E17"/>
    <w:multiLevelType w:val="hybridMultilevel"/>
    <w:tmpl w:val="B45A7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754275"/>
    <w:multiLevelType w:val="hybridMultilevel"/>
    <w:tmpl w:val="B82E6636"/>
    <w:lvl w:ilvl="0" w:tplc="A0A465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2" w15:restartNumberingAfterBreak="0">
    <w:nsid w:val="3E7374D7"/>
    <w:multiLevelType w:val="hybridMultilevel"/>
    <w:tmpl w:val="79A8B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655379D"/>
    <w:multiLevelType w:val="hybridMultilevel"/>
    <w:tmpl w:val="36525F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67B7E16"/>
    <w:multiLevelType w:val="hybridMultilevel"/>
    <w:tmpl w:val="3E6C35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D17FDF"/>
    <w:multiLevelType w:val="hybridMultilevel"/>
    <w:tmpl w:val="C3AA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8" w15:restartNumberingAfterBreak="0">
    <w:nsid w:val="6B89239D"/>
    <w:multiLevelType w:val="hybridMultilevel"/>
    <w:tmpl w:val="4D88F1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11"/>
  </w:num>
  <w:num w:numId="2">
    <w:abstractNumId w:val="20"/>
  </w:num>
  <w:num w:numId="3">
    <w:abstractNumId w:val="22"/>
  </w:num>
  <w:num w:numId="4">
    <w:abstractNumId w:val="22"/>
  </w:num>
  <w:num w:numId="5">
    <w:abstractNumId w:val="1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7"/>
  </w:num>
  <w:num w:numId="8">
    <w:abstractNumId w:val="19"/>
  </w:num>
  <w:num w:numId="9">
    <w:abstractNumId w:val="0"/>
  </w:num>
  <w:num w:numId="10">
    <w:abstractNumId w:val="21"/>
  </w:num>
  <w:num w:numId="11">
    <w:abstractNumId w:val="8"/>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8"/>
  </w:num>
  <w:num w:numId="16">
    <w:abstractNumId w:val="9"/>
  </w:num>
  <w:num w:numId="17">
    <w:abstractNumId w:val="15"/>
  </w:num>
  <w:num w:numId="18">
    <w:abstractNumId w:val="4"/>
  </w:num>
  <w:num w:numId="19">
    <w:abstractNumId w:val="2"/>
  </w:num>
  <w:num w:numId="20">
    <w:abstractNumId w:val="16"/>
  </w:num>
  <w:num w:numId="21">
    <w:abstractNumId w:val="6"/>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4113"/>
    <w:rsid w:val="00005B06"/>
    <w:rsid w:val="000063B0"/>
    <w:rsid w:val="000110D9"/>
    <w:rsid w:val="000111AF"/>
    <w:rsid w:val="00011572"/>
    <w:rsid w:val="0001199C"/>
    <w:rsid w:val="00015C21"/>
    <w:rsid w:val="00016928"/>
    <w:rsid w:val="00020B4B"/>
    <w:rsid w:val="00020F4D"/>
    <w:rsid w:val="00021F08"/>
    <w:rsid w:val="000220A0"/>
    <w:rsid w:val="0002389A"/>
    <w:rsid w:val="00026A37"/>
    <w:rsid w:val="00026D58"/>
    <w:rsid w:val="000302DF"/>
    <w:rsid w:val="00030672"/>
    <w:rsid w:val="00031184"/>
    <w:rsid w:val="00037A06"/>
    <w:rsid w:val="00042899"/>
    <w:rsid w:val="00046BB0"/>
    <w:rsid w:val="0005151B"/>
    <w:rsid w:val="00051DBB"/>
    <w:rsid w:val="000521CC"/>
    <w:rsid w:val="00052C95"/>
    <w:rsid w:val="000530E4"/>
    <w:rsid w:val="0005587A"/>
    <w:rsid w:val="00055E07"/>
    <w:rsid w:val="00061D34"/>
    <w:rsid w:val="000621A8"/>
    <w:rsid w:val="00065E54"/>
    <w:rsid w:val="000672E5"/>
    <w:rsid w:val="00072676"/>
    <w:rsid w:val="00074E3E"/>
    <w:rsid w:val="000767E9"/>
    <w:rsid w:val="0008108C"/>
    <w:rsid w:val="000841AA"/>
    <w:rsid w:val="00085055"/>
    <w:rsid w:val="00087FD4"/>
    <w:rsid w:val="00090BBF"/>
    <w:rsid w:val="000910B7"/>
    <w:rsid w:val="00091262"/>
    <w:rsid w:val="00091581"/>
    <w:rsid w:val="00094517"/>
    <w:rsid w:val="00096485"/>
    <w:rsid w:val="000977D5"/>
    <w:rsid w:val="000978C8"/>
    <w:rsid w:val="000A270E"/>
    <w:rsid w:val="000A4D3A"/>
    <w:rsid w:val="000A62EF"/>
    <w:rsid w:val="000A66B7"/>
    <w:rsid w:val="000A7058"/>
    <w:rsid w:val="000B053E"/>
    <w:rsid w:val="000B139B"/>
    <w:rsid w:val="000B6004"/>
    <w:rsid w:val="000B6D02"/>
    <w:rsid w:val="000C36B4"/>
    <w:rsid w:val="000C5B2F"/>
    <w:rsid w:val="000C72C1"/>
    <w:rsid w:val="000D04BC"/>
    <w:rsid w:val="000D5C86"/>
    <w:rsid w:val="000E53E1"/>
    <w:rsid w:val="000E625E"/>
    <w:rsid w:val="000F1833"/>
    <w:rsid w:val="000F4098"/>
    <w:rsid w:val="0010017C"/>
    <w:rsid w:val="00101358"/>
    <w:rsid w:val="00103399"/>
    <w:rsid w:val="00104933"/>
    <w:rsid w:val="00111A53"/>
    <w:rsid w:val="00112010"/>
    <w:rsid w:val="0011280F"/>
    <w:rsid w:val="0011498C"/>
    <w:rsid w:val="00120592"/>
    <w:rsid w:val="001217DF"/>
    <w:rsid w:val="0012187D"/>
    <w:rsid w:val="00121C94"/>
    <w:rsid w:val="00124BFE"/>
    <w:rsid w:val="00126809"/>
    <w:rsid w:val="001307EF"/>
    <w:rsid w:val="00131C5A"/>
    <w:rsid w:val="00134424"/>
    <w:rsid w:val="00140255"/>
    <w:rsid w:val="00142D3C"/>
    <w:rsid w:val="00143395"/>
    <w:rsid w:val="00143D88"/>
    <w:rsid w:val="001450CF"/>
    <w:rsid w:val="001451AB"/>
    <w:rsid w:val="00151B9F"/>
    <w:rsid w:val="00153DFF"/>
    <w:rsid w:val="0015404D"/>
    <w:rsid w:val="00154391"/>
    <w:rsid w:val="001546D4"/>
    <w:rsid w:val="001548DE"/>
    <w:rsid w:val="001554FB"/>
    <w:rsid w:val="001564FC"/>
    <w:rsid w:val="00157985"/>
    <w:rsid w:val="00161DF1"/>
    <w:rsid w:val="001648F6"/>
    <w:rsid w:val="00171BB8"/>
    <w:rsid w:val="001737DF"/>
    <w:rsid w:val="00174707"/>
    <w:rsid w:val="001754AD"/>
    <w:rsid w:val="00180DAD"/>
    <w:rsid w:val="00181672"/>
    <w:rsid w:val="00181E01"/>
    <w:rsid w:val="00191E1B"/>
    <w:rsid w:val="001944A0"/>
    <w:rsid w:val="00195856"/>
    <w:rsid w:val="00195B03"/>
    <w:rsid w:val="00196649"/>
    <w:rsid w:val="001A11C7"/>
    <w:rsid w:val="001A1C42"/>
    <w:rsid w:val="001A4BE1"/>
    <w:rsid w:val="001A6B7A"/>
    <w:rsid w:val="001A7A21"/>
    <w:rsid w:val="001B1D23"/>
    <w:rsid w:val="001B5156"/>
    <w:rsid w:val="001C0160"/>
    <w:rsid w:val="001C2ACE"/>
    <w:rsid w:val="001C6C9B"/>
    <w:rsid w:val="001C7134"/>
    <w:rsid w:val="001D355E"/>
    <w:rsid w:val="001D65A6"/>
    <w:rsid w:val="001D7A57"/>
    <w:rsid w:val="001D7D61"/>
    <w:rsid w:val="001E19A3"/>
    <w:rsid w:val="001E4718"/>
    <w:rsid w:val="001E4C3F"/>
    <w:rsid w:val="001E6273"/>
    <w:rsid w:val="001E707F"/>
    <w:rsid w:val="001F00E9"/>
    <w:rsid w:val="001F107B"/>
    <w:rsid w:val="001F735E"/>
    <w:rsid w:val="002005A8"/>
    <w:rsid w:val="002006B6"/>
    <w:rsid w:val="00202745"/>
    <w:rsid w:val="00205BAF"/>
    <w:rsid w:val="00207F85"/>
    <w:rsid w:val="0021226A"/>
    <w:rsid w:val="00212ADB"/>
    <w:rsid w:val="00225142"/>
    <w:rsid w:val="00226694"/>
    <w:rsid w:val="00226724"/>
    <w:rsid w:val="002268D9"/>
    <w:rsid w:val="00227BDD"/>
    <w:rsid w:val="002318A4"/>
    <w:rsid w:val="00231E4E"/>
    <w:rsid w:val="002335FF"/>
    <w:rsid w:val="00233D87"/>
    <w:rsid w:val="0023666C"/>
    <w:rsid w:val="00236692"/>
    <w:rsid w:val="00236E0A"/>
    <w:rsid w:val="00237964"/>
    <w:rsid w:val="00240021"/>
    <w:rsid w:val="002434DE"/>
    <w:rsid w:val="00243F7F"/>
    <w:rsid w:val="00245AFF"/>
    <w:rsid w:val="0024628D"/>
    <w:rsid w:val="0024690E"/>
    <w:rsid w:val="00250B52"/>
    <w:rsid w:val="00251068"/>
    <w:rsid w:val="00251ABC"/>
    <w:rsid w:val="002524CF"/>
    <w:rsid w:val="00256400"/>
    <w:rsid w:val="00257371"/>
    <w:rsid w:val="002652D2"/>
    <w:rsid w:val="00271B18"/>
    <w:rsid w:val="00272F7D"/>
    <w:rsid w:val="00273A06"/>
    <w:rsid w:val="00276F9B"/>
    <w:rsid w:val="00285093"/>
    <w:rsid w:val="00287EBD"/>
    <w:rsid w:val="00293115"/>
    <w:rsid w:val="002942B0"/>
    <w:rsid w:val="0029555D"/>
    <w:rsid w:val="0029781E"/>
    <w:rsid w:val="002A1A24"/>
    <w:rsid w:val="002A2471"/>
    <w:rsid w:val="002A2745"/>
    <w:rsid w:val="002A2A94"/>
    <w:rsid w:val="002B107C"/>
    <w:rsid w:val="002B2345"/>
    <w:rsid w:val="002B2C97"/>
    <w:rsid w:val="002B3BF4"/>
    <w:rsid w:val="002B6DED"/>
    <w:rsid w:val="002B6F2A"/>
    <w:rsid w:val="002B71B3"/>
    <w:rsid w:val="002C06FC"/>
    <w:rsid w:val="002C1117"/>
    <w:rsid w:val="002C117F"/>
    <w:rsid w:val="002C3D18"/>
    <w:rsid w:val="002C67DF"/>
    <w:rsid w:val="002D0036"/>
    <w:rsid w:val="002D17CE"/>
    <w:rsid w:val="002D29F8"/>
    <w:rsid w:val="002D40EE"/>
    <w:rsid w:val="002D4993"/>
    <w:rsid w:val="002D50E9"/>
    <w:rsid w:val="002D5CFA"/>
    <w:rsid w:val="002E1C88"/>
    <w:rsid w:val="002E7C15"/>
    <w:rsid w:val="002F036B"/>
    <w:rsid w:val="002F2319"/>
    <w:rsid w:val="00302A82"/>
    <w:rsid w:val="00307C69"/>
    <w:rsid w:val="003103FB"/>
    <w:rsid w:val="00313E1D"/>
    <w:rsid w:val="0031558D"/>
    <w:rsid w:val="00315DC8"/>
    <w:rsid w:val="003215F4"/>
    <w:rsid w:val="003232DD"/>
    <w:rsid w:val="003247FA"/>
    <w:rsid w:val="00327135"/>
    <w:rsid w:val="003309DA"/>
    <w:rsid w:val="00333809"/>
    <w:rsid w:val="00336313"/>
    <w:rsid w:val="0033721A"/>
    <w:rsid w:val="00337D1D"/>
    <w:rsid w:val="00345E29"/>
    <w:rsid w:val="0035060F"/>
    <w:rsid w:val="00352864"/>
    <w:rsid w:val="00353945"/>
    <w:rsid w:val="00361185"/>
    <w:rsid w:val="00362F9E"/>
    <w:rsid w:val="003631B4"/>
    <w:rsid w:val="00363BE8"/>
    <w:rsid w:val="003641A2"/>
    <w:rsid w:val="00364289"/>
    <w:rsid w:val="003661BF"/>
    <w:rsid w:val="00372F61"/>
    <w:rsid w:val="00373B83"/>
    <w:rsid w:val="00376738"/>
    <w:rsid w:val="00385069"/>
    <w:rsid w:val="00387072"/>
    <w:rsid w:val="00392097"/>
    <w:rsid w:val="00392684"/>
    <w:rsid w:val="003A11AC"/>
    <w:rsid w:val="003B1C2D"/>
    <w:rsid w:val="003B43DF"/>
    <w:rsid w:val="003B5C13"/>
    <w:rsid w:val="003B707F"/>
    <w:rsid w:val="003B7610"/>
    <w:rsid w:val="003C2CC3"/>
    <w:rsid w:val="003C7721"/>
    <w:rsid w:val="003D1E18"/>
    <w:rsid w:val="003D1FB8"/>
    <w:rsid w:val="003D7104"/>
    <w:rsid w:val="003E10B3"/>
    <w:rsid w:val="003E2013"/>
    <w:rsid w:val="003E5605"/>
    <w:rsid w:val="003E713A"/>
    <w:rsid w:val="003F0447"/>
    <w:rsid w:val="003F1719"/>
    <w:rsid w:val="003F21D2"/>
    <w:rsid w:val="003F269E"/>
    <w:rsid w:val="003F4964"/>
    <w:rsid w:val="003F5050"/>
    <w:rsid w:val="003F65F3"/>
    <w:rsid w:val="00401C43"/>
    <w:rsid w:val="004046FF"/>
    <w:rsid w:val="0040697D"/>
    <w:rsid w:val="00410790"/>
    <w:rsid w:val="00411EF4"/>
    <w:rsid w:val="00412759"/>
    <w:rsid w:val="004133BB"/>
    <w:rsid w:val="00413DE5"/>
    <w:rsid w:val="0041408F"/>
    <w:rsid w:val="004142EF"/>
    <w:rsid w:val="00420958"/>
    <w:rsid w:val="00420EF1"/>
    <w:rsid w:val="00421920"/>
    <w:rsid w:val="00423D33"/>
    <w:rsid w:val="004249A0"/>
    <w:rsid w:val="00425A8B"/>
    <w:rsid w:val="0043155E"/>
    <w:rsid w:val="00432D49"/>
    <w:rsid w:val="004339EA"/>
    <w:rsid w:val="00433E8F"/>
    <w:rsid w:val="00434145"/>
    <w:rsid w:val="0044046F"/>
    <w:rsid w:val="0044577B"/>
    <w:rsid w:val="00447A47"/>
    <w:rsid w:val="00451588"/>
    <w:rsid w:val="00451669"/>
    <w:rsid w:val="004517F1"/>
    <w:rsid w:val="00455406"/>
    <w:rsid w:val="004556DF"/>
    <w:rsid w:val="00461489"/>
    <w:rsid w:val="00461AE3"/>
    <w:rsid w:val="00462BB6"/>
    <w:rsid w:val="0046345D"/>
    <w:rsid w:val="00464A63"/>
    <w:rsid w:val="00466DD6"/>
    <w:rsid w:val="00470670"/>
    <w:rsid w:val="00471DF5"/>
    <w:rsid w:val="00472286"/>
    <w:rsid w:val="00475A47"/>
    <w:rsid w:val="00475D57"/>
    <w:rsid w:val="00484084"/>
    <w:rsid w:val="00484536"/>
    <w:rsid w:val="00485A80"/>
    <w:rsid w:val="00486585"/>
    <w:rsid w:val="00490074"/>
    <w:rsid w:val="00497289"/>
    <w:rsid w:val="004A06AE"/>
    <w:rsid w:val="004A510D"/>
    <w:rsid w:val="004B06E3"/>
    <w:rsid w:val="004B35DC"/>
    <w:rsid w:val="004B3F71"/>
    <w:rsid w:val="004B5888"/>
    <w:rsid w:val="004B6780"/>
    <w:rsid w:val="004C2A36"/>
    <w:rsid w:val="004C3663"/>
    <w:rsid w:val="004C57EC"/>
    <w:rsid w:val="004C62EE"/>
    <w:rsid w:val="004C69F2"/>
    <w:rsid w:val="004D0C20"/>
    <w:rsid w:val="004D1461"/>
    <w:rsid w:val="004D15B1"/>
    <w:rsid w:val="004D2465"/>
    <w:rsid w:val="004D3A71"/>
    <w:rsid w:val="004D3CE4"/>
    <w:rsid w:val="004D5B98"/>
    <w:rsid w:val="004D7E51"/>
    <w:rsid w:val="004E04EE"/>
    <w:rsid w:val="004E1B37"/>
    <w:rsid w:val="004E2704"/>
    <w:rsid w:val="004E3F72"/>
    <w:rsid w:val="004E43CE"/>
    <w:rsid w:val="004E4D01"/>
    <w:rsid w:val="004E76BB"/>
    <w:rsid w:val="004F13C3"/>
    <w:rsid w:val="004F705B"/>
    <w:rsid w:val="004F7859"/>
    <w:rsid w:val="0050029C"/>
    <w:rsid w:val="00500964"/>
    <w:rsid w:val="00500C66"/>
    <w:rsid w:val="0050169A"/>
    <w:rsid w:val="00505B94"/>
    <w:rsid w:val="005066B8"/>
    <w:rsid w:val="00510194"/>
    <w:rsid w:val="005130EC"/>
    <w:rsid w:val="005146E6"/>
    <w:rsid w:val="00524992"/>
    <w:rsid w:val="005325B6"/>
    <w:rsid w:val="0053354D"/>
    <w:rsid w:val="00535A42"/>
    <w:rsid w:val="0053648B"/>
    <w:rsid w:val="0053748E"/>
    <w:rsid w:val="005449C6"/>
    <w:rsid w:val="00545083"/>
    <w:rsid w:val="0055424F"/>
    <w:rsid w:val="00560426"/>
    <w:rsid w:val="00562875"/>
    <w:rsid w:val="00563B47"/>
    <w:rsid w:val="00566B42"/>
    <w:rsid w:val="0057165C"/>
    <w:rsid w:val="00571D95"/>
    <w:rsid w:val="005722C6"/>
    <w:rsid w:val="00574E86"/>
    <w:rsid w:val="005752D8"/>
    <w:rsid w:val="00580762"/>
    <w:rsid w:val="00580FF8"/>
    <w:rsid w:val="00585C8D"/>
    <w:rsid w:val="005862CC"/>
    <w:rsid w:val="005911FE"/>
    <w:rsid w:val="0059312F"/>
    <w:rsid w:val="00595758"/>
    <w:rsid w:val="00596081"/>
    <w:rsid w:val="005A3943"/>
    <w:rsid w:val="005A51E6"/>
    <w:rsid w:val="005A632E"/>
    <w:rsid w:val="005A74DC"/>
    <w:rsid w:val="005B00BA"/>
    <w:rsid w:val="005B702F"/>
    <w:rsid w:val="005B7418"/>
    <w:rsid w:val="005C03A9"/>
    <w:rsid w:val="005C2BFC"/>
    <w:rsid w:val="005C324B"/>
    <w:rsid w:val="005C43E2"/>
    <w:rsid w:val="005C454A"/>
    <w:rsid w:val="005C74C9"/>
    <w:rsid w:val="005D1B14"/>
    <w:rsid w:val="005D257B"/>
    <w:rsid w:val="005D2E2C"/>
    <w:rsid w:val="005D31D7"/>
    <w:rsid w:val="005D47CC"/>
    <w:rsid w:val="005D75BE"/>
    <w:rsid w:val="005E0BC1"/>
    <w:rsid w:val="005E1D5C"/>
    <w:rsid w:val="005E25DC"/>
    <w:rsid w:val="005E52AE"/>
    <w:rsid w:val="005E5607"/>
    <w:rsid w:val="005E567C"/>
    <w:rsid w:val="005F505E"/>
    <w:rsid w:val="00600DED"/>
    <w:rsid w:val="00602976"/>
    <w:rsid w:val="0060388D"/>
    <w:rsid w:val="00604231"/>
    <w:rsid w:val="006068F3"/>
    <w:rsid w:val="00610C2F"/>
    <w:rsid w:val="00611A9B"/>
    <w:rsid w:val="0062187C"/>
    <w:rsid w:val="006239BC"/>
    <w:rsid w:val="00623C11"/>
    <w:rsid w:val="00624233"/>
    <w:rsid w:val="006248BF"/>
    <w:rsid w:val="00625805"/>
    <w:rsid w:val="00627AC4"/>
    <w:rsid w:val="0063253B"/>
    <w:rsid w:val="006363C8"/>
    <w:rsid w:val="00637AB8"/>
    <w:rsid w:val="00640EEC"/>
    <w:rsid w:val="0064370D"/>
    <w:rsid w:val="00643771"/>
    <w:rsid w:val="00644030"/>
    <w:rsid w:val="00644946"/>
    <w:rsid w:val="006454D5"/>
    <w:rsid w:val="00646AB8"/>
    <w:rsid w:val="00647BD9"/>
    <w:rsid w:val="00647BE9"/>
    <w:rsid w:val="00654A3E"/>
    <w:rsid w:val="006578B1"/>
    <w:rsid w:val="006624A7"/>
    <w:rsid w:val="00663235"/>
    <w:rsid w:val="0066515F"/>
    <w:rsid w:val="00665EB5"/>
    <w:rsid w:val="0066624C"/>
    <w:rsid w:val="006668AF"/>
    <w:rsid w:val="0067278C"/>
    <w:rsid w:val="006745E0"/>
    <w:rsid w:val="00676DAA"/>
    <w:rsid w:val="0068523B"/>
    <w:rsid w:val="00686439"/>
    <w:rsid w:val="006872F7"/>
    <w:rsid w:val="0069161E"/>
    <w:rsid w:val="0069288D"/>
    <w:rsid w:val="006A1C7D"/>
    <w:rsid w:val="006A6051"/>
    <w:rsid w:val="006B2EEE"/>
    <w:rsid w:val="006B31D9"/>
    <w:rsid w:val="006B5783"/>
    <w:rsid w:val="006C0102"/>
    <w:rsid w:val="006C07D4"/>
    <w:rsid w:val="006C41AD"/>
    <w:rsid w:val="006D04BD"/>
    <w:rsid w:val="006D071D"/>
    <w:rsid w:val="006D47EF"/>
    <w:rsid w:val="006D4961"/>
    <w:rsid w:val="006D6644"/>
    <w:rsid w:val="006D7180"/>
    <w:rsid w:val="006E433B"/>
    <w:rsid w:val="006E5367"/>
    <w:rsid w:val="006E7899"/>
    <w:rsid w:val="006E7C78"/>
    <w:rsid w:val="006F27F4"/>
    <w:rsid w:val="006F2E23"/>
    <w:rsid w:val="006F7024"/>
    <w:rsid w:val="00703A7C"/>
    <w:rsid w:val="0070450B"/>
    <w:rsid w:val="00706F5F"/>
    <w:rsid w:val="007076DA"/>
    <w:rsid w:val="00707860"/>
    <w:rsid w:val="00712537"/>
    <w:rsid w:val="007207BF"/>
    <w:rsid w:val="00720EFE"/>
    <w:rsid w:val="00725474"/>
    <w:rsid w:val="00725CB0"/>
    <w:rsid w:val="00727E74"/>
    <w:rsid w:val="0073218A"/>
    <w:rsid w:val="00733E56"/>
    <w:rsid w:val="0073515B"/>
    <w:rsid w:val="0073517D"/>
    <w:rsid w:val="0073685C"/>
    <w:rsid w:val="00737EA5"/>
    <w:rsid w:val="007400AE"/>
    <w:rsid w:val="00741981"/>
    <w:rsid w:val="00741F3E"/>
    <w:rsid w:val="00743AA8"/>
    <w:rsid w:val="00750840"/>
    <w:rsid w:val="00754DE1"/>
    <w:rsid w:val="00757617"/>
    <w:rsid w:val="00762761"/>
    <w:rsid w:val="0076314F"/>
    <w:rsid w:val="00763AD8"/>
    <w:rsid w:val="00765016"/>
    <w:rsid w:val="007669B1"/>
    <w:rsid w:val="00767EDE"/>
    <w:rsid w:val="0077100C"/>
    <w:rsid w:val="007758CE"/>
    <w:rsid w:val="00776C39"/>
    <w:rsid w:val="00777912"/>
    <w:rsid w:val="00781D00"/>
    <w:rsid w:val="007826D5"/>
    <w:rsid w:val="007844E1"/>
    <w:rsid w:val="007846BA"/>
    <w:rsid w:val="007900F3"/>
    <w:rsid w:val="00791B69"/>
    <w:rsid w:val="00793D34"/>
    <w:rsid w:val="0079498E"/>
    <w:rsid w:val="00796F10"/>
    <w:rsid w:val="007A0145"/>
    <w:rsid w:val="007A0CE6"/>
    <w:rsid w:val="007A0EE7"/>
    <w:rsid w:val="007A3687"/>
    <w:rsid w:val="007A396D"/>
    <w:rsid w:val="007A6AB5"/>
    <w:rsid w:val="007B14D9"/>
    <w:rsid w:val="007B2B46"/>
    <w:rsid w:val="007B30F2"/>
    <w:rsid w:val="007B377F"/>
    <w:rsid w:val="007B4274"/>
    <w:rsid w:val="007B5117"/>
    <w:rsid w:val="007B599D"/>
    <w:rsid w:val="007B6650"/>
    <w:rsid w:val="007B6A74"/>
    <w:rsid w:val="007C2DC8"/>
    <w:rsid w:val="007C58EA"/>
    <w:rsid w:val="007D097E"/>
    <w:rsid w:val="007D230B"/>
    <w:rsid w:val="007D27A6"/>
    <w:rsid w:val="007D2D80"/>
    <w:rsid w:val="007D3681"/>
    <w:rsid w:val="007D3824"/>
    <w:rsid w:val="007D49A1"/>
    <w:rsid w:val="007D542B"/>
    <w:rsid w:val="007D59DD"/>
    <w:rsid w:val="007D6AEB"/>
    <w:rsid w:val="007E11D5"/>
    <w:rsid w:val="007E1F66"/>
    <w:rsid w:val="007E22C8"/>
    <w:rsid w:val="007E2CB5"/>
    <w:rsid w:val="007E4C10"/>
    <w:rsid w:val="007E4C38"/>
    <w:rsid w:val="007E5052"/>
    <w:rsid w:val="007E53CF"/>
    <w:rsid w:val="007E6501"/>
    <w:rsid w:val="007E6C25"/>
    <w:rsid w:val="007F32D7"/>
    <w:rsid w:val="007F669E"/>
    <w:rsid w:val="00801632"/>
    <w:rsid w:val="00804FC5"/>
    <w:rsid w:val="0080520B"/>
    <w:rsid w:val="00806251"/>
    <w:rsid w:val="00807B3E"/>
    <w:rsid w:val="00810D4A"/>
    <w:rsid w:val="00811365"/>
    <w:rsid w:val="008117EC"/>
    <w:rsid w:val="00812B8F"/>
    <w:rsid w:val="00812F82"/>
    <w:rsid w:val="008146FD"/>
    <w:rsid w:val="00814B07"/>
    <w:rsid w:val="00816AAB"/>
    <w:rsid w:val="00820402"/>
    <w:rsid w:val="008243B2"/>
    <w:rsid w:val="00824F08"/>
    <w:rsid w:val="008310DF"/>
    <w:rsid w:val="00831105"/>
    <w:rsid w:val="00835487"/>
    <w:rsid w:val="00837F60"/>
    <w:rsid w:val="00844A4B"/>
    <w:rsid w:val="00844F1F"/>
    <w:rsid w:val="00846936"/>
    <w:rsid w:val="00854676"/>
    <w:rsid w:val="008552F7"/>
    <w:rsid w:val="008561B9"/>
    <w:rsid w:val="00856BD0"/>
    <w:rsid w:val="00865296"/>
    <w:rsid w:val="00867086"/>
    <w:rsid w:val="00870CC3"/>
    <w:rsid w:val="0087171E"/>
    <w:rsid w:val="00874663"/>
    <w:rsid w:val="00881B95"/>
    <w:rsid w:val="00882446"/>
    <w:rsid w:val="0088250D"/>
    <w:rsid w:val="008831CA"/>
    <w:rsid w:val="008859BE"/>
    <w:rsid w:val="0089272A"/>
    <w:rsid w:val="00894890"/>
    <w:rsid w:val="00897247"/>
    <w:rsid w:val="008B08F0"/>
    <w:rsid w:val="008B262C"/>
    <w:rsid w:val="008B2DAD"/>
    <w:rsid w:val="008B6FC8"/>
    <w:rsid w:val="008B7040"/>
    <w:rsid w:val="008C19E9"/>
    <w:rsid w:val="008C26E9"/>
    <w:rsid w:val="008C5310"/>
    <w:rsid w:val="008C774E"/>
    <w:rsid w:val="008D4652"/>
    <w:rsid w:val="008D6D9D"/>
    <w:rsid w:val="008D7A9A"/>
    <w:rsid w:val="008E035B"/>
    <w:rsid w:val="008F1691"/>
    <w:rsid w:val="008F22E2"/>
    <w:rsid w:val="008F33A9"/>
    <w:rsid w:val="008F5698"/>
    <w:rsid w:val="008F56A5"/>
    <w:rsid w:val="008F639E"/>
    <w:rsid w:val="008F66A7"/>
    <w:rsid w:val="00901EF2"/>
    <w:rsid w:val="00903EB6"/>
    <w:rsid w:val="00904906"/>
    <w:rsid w:val="0090702F"/>
    <w:rsid w:val="009079D0"/>
    <w:rsid w:val="00913D0A"/>
    <w:rsid w:val="00913D9A"/>
    <w:rsid w:val="009148A1"/>
    <w:rsid w:val="0092200C"/>
    <w:rsid w:val="00924972"/>
    <w:rsid w:val="00932A15"/>
    <w:rsid w:val="00932E1E"/>
    <w:rsid w:val="00933750"/>
    <w:rsid w:val="00934068"/>
    <w:rsid w:val="00937854"/>
    <w:rsid w:val="00941896"/>
    <w:rsid w:val="0094495E"/>
    <w:rsid w:val="009469E0"/>
    <w:rsid w:val="00951C4D"/>
    <w:rsid w:val="00952E03"/>
    <w:rsid w:val="00952F8A"/>
    <w:rsid w:val="0095396E"/>
    <w:rsid w:val="00953C3B"/>
    <w:rsid w:val="009547A7"/>
    <w:rsid w:val="009547E2"/>
    <w:rsid w:val="00956488"/>
    <w:rsid w:val="00956E72"/>
    <w:rsid w:val="00956F5F"/>
    <w:rsid w:val="009610DC"/>
    <w:rsid w:val="00963238"/>
    <w:rsid w:val="00964A35"/>
    <w:rsid w:val="009657F4"/>
    <w:rsid w:val="0097154F"/>
    <w:rsid w:val="00977EA6"/>
    <w:rsid w:val="0098373E"/>
    <w:rsid w:val="00985996"/>
    <w:rsid w:val="00986978"/>
    <w:rsid w:val="00990F39"/>
    <w:rsid w:val="00991C8D"/>
    <w:rsid w:val="00994F74"/>
    <w:rsid w:val="0099563A"/>
    <w:rsid w:val="00997897"/>
    <w:rsid w:val="009A137B"/>
    <w:rsid w:val="009A13F4"/>
    <w:rsid w:val="009A1A59"/>
    <w:rsid w:val="009A44BE"/>
    <w:rsid w:val="009B029F"/>
    <w:rsid w:val="009B02FE"/>
    <w:rsid w:val="009B27F8"/>
    <w:rsid w:val="009B40D1"/>
    <w:rsid w:val="009B4A8B"/>
    <w:rsid w:val="009B6BEA"/>
    <w:rsid w:val="009B74FB"/>
    <w:rsid w:val="009C0660"/>
    <w:rsid w:val="009C31A4"/>
    <w:rsid w:val="009C4845"/>
    <w:rsid w:val="009C7314"/>
    <w:rsid w:val="009D2442"/>
    <w:rsid w:val="009D2B62"/>
    <w:rsid w:val="009D5D9F"/>
    <w:rsid w:val="009D62EC"/>
    <w:rsid w:val="009E0FA2"/>
    <w:rsid w:val="009E2244"/>
    <w:rsid w:val="009E3F9B"/>
    <w:rsid w:val="009F0A1B"/>
    <w:rsid w:val="009F4120"/>
    <w:rsid w:val="009F57FD"/>
    <w:rsid w:val="009F7B47"/>
    <w:rsid w:val="009F7F9F"/>
    <w:rsid w:val="00A01E02"/>
    <w:rsid w:val="00A02D48"/>
    <w:rsid w:val="00A02E26"/>
    <w:rsid w:val="00A0356D"/>
    <w:rsid w:val="00A05BA0"/>
    <w:rsid w:val="00A10756"/>
    <w:rsid w:val="00A10BC1"/>
    <w:rsid w:val="00A136CC"/>
    <w:rsid w:val="00A13EE0"/>
    <w:rsid w:val="00A159C9"/>
    <w:rsid w:val="00A167FB"/>
    <w:rsid w:val="00A21B70"/>
    <w:rsid w:val="00A21D02"/>
    <w:rsid w:val="00A21DDB"/>
    <w:rsid w:val="00A23CF6"/>
    <w:rsid w:val="00A2690C"/>
    <w:rsid w:val="00A2792F"/>
    <w:rsid w:val="00A30970"/>
    <w:rsid w:val="00A315E4"/>
    <w:rsid w:val="00A31D96"/>
    <w:rsid w:val="00A31FEE"/>
    <w:rsid w:val="00A33B0D"/>
    <w:rsid w:val="00A33C55"/>
    <w:rsid w:val="00A3494C"/>
    <w:rsid w:val="00A3514A"/>
    <w:rsid w:val="00A375E9"/>
    <w:rsid w:val="00A406C3"/>
    <w:rsid w:val="00A42875"/>
    <w:rsid w:val="00A43A8D"/>
    <w:rsid w:val="00A44DC1"/>
    <w:rsid w:val="00A47A98"/>
    <w:rsid w:val="00A47EE7"/>
    <w:rsid w:val="00A50B43"/>
    <w:rsid w:val="00A50BF4"/>
    <w:rsid w:val="00A51A63"/>
    <w:rsid w:val="00A51C87"/>
    <w:rsid w:val="00A54197"/>
    <w:rsid w:val="00A547E1"/>
    <w:rsid w:val="00A55AEE"/>
    <w:rsid w:val="00A61452"/>
    <w:rsid w:val="00A61821"/>
    <w:rsid w:val="00A61E3A"/>
    <w:rsid w:val="00A631BA"/>
    <w:rsid w:val="00A63599"/>
    <w:rsid w:val="00A6479A"/>
    <w:rsid w:val="00A6730D"/>
    <w:rsid w:val="00A67CA5"/>
    <w:rsid w:val="00A710B8"/>
    <w:rsid w:val="00A72BFF"/>
    <w:rsid w:val="00A745A7"/>
    <w:rsid w:val="00A75CCD"/>
    <w:rsid w:val="00A75FBD"/>
    <w:rsid w:val="00A76369"/>
    <w:rsid w:val="00A80506"/>
    <w:rsid w:val="00A806AE"/>
    <w:rsid w:val="00A8118F"/>
    <w:rsid w:val="00A83458"/>
    <w:rsid w:val="00A836D0"/>
    <w:rsid w:val="00A86C41"/>
    <w:rsid w:val="00A90148"/>
    <w:rsid w:val="00A917F8"/>
    <w:rsid w:val="00AA0D8C"/>
    <w:rsid w:val="00AA25BC"/>
    <w:rsid w:val="00AA3077"/>
    <w:rsid w:val="00AA3E2A"/>
    <w:rsid w:val="00AA46AF"/>
    <w:rsid w:val="00AA5496"/>
    <w:rsid w:val="00AA5AE7"/>
    <w:rsid w:val="00AA5C79"/>
    <w:rsid w:val="00AB1DD5"/>
    <w:rsid w:val="00AB4E9E"/>
    <w:rsid w:val="00AB50F7"/>
    <w:rsid w:val="00AB6C99"/>
    <w:rsid w:val="00AB7A60"/>
    <w:rsid w:val="00AC11D5"/>
    <w:rsid w:val="00AC15E5"/>
    <w:rsid w:val="00AC22BB"/>
    <w:rsid w:val="00AC4080"/>
    <w:rsid w:val="00AC4997"/>
    <w:rsid w:val="00AC5A6D"/>
    <w:rsid w:val="00AC5D73"/>
    <w:rsid w:val="00AC67EC"/>
    <w:rsid w:val="00AC73AD"/>
    <w:rsid w:val="00AC7BED"/>
    <w:rsid w:val="00AD067D"/>
    <w:rsid w:val="00AD705A"/>
    <w:rsid w:val="00AD78F9"/>
    <w:rsid w:val="00AE008D"/>
    <w:rsid w:val="00AE01E1"/>
    <w:rsid w:val="00AE30E0"/>
    <w:rsid w:val="00AE346F"/>
    <w:rsid w:val="00AE3AD5"/>
    <w:rsid w:val="00AE3B06"/>
    <w:rsid w:val="00AE61E4"/>
    <w:rsid w:val="00AE6684"/>
    <w:rsid w:val="00AF1635"/>
    <w:rsid w:val="00AF2329"/>
    <w:rsid w:val="00AF3660"/>
    <w:rsid w:val="00AF7A20"/>
    <w:rsid w:val="00B01312"/>
    <w:rsid w:val="00B02D98"/>
    <w:rsid w:val="00B150C5"/>
    <w:rsid w:val="00B15D2F"/>
    <w:rsid w:val="00B16399"/>
    <w:rsid w:val="00B1760F"/>
    <w:rsid w:val="00B2586D"/>
    <w:rsid w:val="00B25AE4"/>
    <w:rsid w:val="00B265C9"/>
    <w:rsid w:val="00B267FC"/>
    <w:rsid w:val="00B26909"/>
    <w:rsid w:val="00B27664"/>
    <w:rsid w:val="00B31169"/>
    <w:rsid w:val="00B31828"/>
    <w:rsid w:val="00B41EA8"/>
    <w:rsid w:val="00B42A3C"/>
    <w:rsid w:val="00B42BEE"/>
    <w:rsid w:val="00B452B7"/>
    <w:rsid w:val="00B458E3"/>
    <w:rsid w:val="00B47104"/>
    <w:rsid w:val="00B51786"/>
    <w:rsid w:val="00B518FF"/>
    <w:rsid w:val="00B54F17"/>
    <w:rsid w:val="00B556D5"/>
    <w:rsid w:val="00B561EE"/>
    <w:rsid w:val="00B56727"/>
    <w:rsid w:val="00B570C2"/>
    <w:rsid w:val="00B57D47"/>
    <w:rsid w:val="00B600F6"/>
    <w:rsid w:val="00B6210E"/>
    <w:rsid w:val="00B621F4"/>
    <w:rsid w:val="00B632E3"/>
    <w:rsid w:val="00B64DC8"/>
    <w:rsid w:val="00B658F8"/>
    <w:rsid w:val="00B70688"/>
    <w:rsid w:val="00B7586E"/>
    <w:rsid w:val="00B75FD9"/>
    <w:rsid w:val="00B77091"/>
    <w:rsid w:val="00B80039"/>
    <w:rsid w:val="00B837C1"/>
    <w:rsid w:val="00B841E0"/>
    <w:rsid w:val="00B85ECA"/>
    <w:rsid w:val="00B860BA"/>
    <w:rsid w:val="00B865F5"/>
    <w:rsid w:val="00B870A0"/>
    <w:rsid w:val="00B91DFE"/>
    <w:rsid w:val="00B966E9"/>
    <w:rsid w:val="00B96BC7"/>
    <w:rsid w:val="00B97229"/>
    <w:rsid w:val="00BA08A3"/>
    <w:rsid w:val="00BA3D7D"/>
    <w:rsid w:val="00BA5AB3"/>
    <w:rsid w:val="00BB1B45"/>
    <w:rsid w:val="00BB227E"/>
    <w:rsid w:val="00BB4F22"/>
    <w:rsid w:val="00BB7E3D"/>
    <w:rsid w:val="00BC397D"/>
    <w:rsid w:val="00BC3CD1"/>
    <w:rsid w:val="00BC5EC6"/>
    <w:rsid w:val="00BC5F0E"/>
    <w:rsid w:val="00BD17D1"/>
    <w:rsid w:val="00BD2211"/>
    <w:rsid w:val="00BD221D"/>
    <w:rsid w:val="00BD3E65"/>
    <w:rsid w:val="00BD5934"/>
    <w:rsid w:val="00BD7785"/>
    <w:rsid w:val="00BE3B2E"/>
    <w:rsid w:val="00BE3F60"/>
    <w:rsid w:val="00BE7D4F"/>
    <w:rsid w:val="00BE7DE8"/>
    <w:rsid w:val="00BF1CBD"/>
    <w:rsid w:val="00BF52C4"/>
    <w:rsid w:val="00C006BE"/>
    <w:rsid w:val="00C0090B"/>
    <w:rsid w:val="00C03E37"/>
    <w:rsid w:val="00C05B8E"/>
    <w:rsid w:val="00C1063D"/>
    <w:rsid w:val="00C15ABA"/>
    <w:rsid w:val="00C15BD9"/>
    <w:rsid w:val="00C15E0E"/>
    <w:rsid w:val="00C20606"/>
    <w:rsid w:val="00C22209"/>
    <w:rsid w:val="00C23FB5"/>
    <w:rsid w:val="00C24515"/>
    <w:rsid w:val="00C24A1A"/>
    <w:rsid w:val="00C331BB"/>
    <w:rsid w:val="00C34085"/>
    <w:rsid w:val="00C401A7"/>
    <w:rsid w:val="00C41422"/>
    <w:rsid w:val="00C4147B"/>
    <w:rsid w:val="00C41A08"/>
    <w:rsid w:val="00C422B9"/>
    <w:rsid w:val="00C4240A"/>
    <w:rsid w:val="00C4241E"/>
    <w:rsid w:val="00C46168"/>
    <w:rsid w:val="00C50EFE"/>
    <w:rsid w:val="00C60494"/>
    <w:rsid w:val="00C615A3"/>
    <w:rsid w:val="00C6198D"/>
    <w:rsid w:val="00C61C53"/>
    <w:rsid w:val="00C635DA"/>
    <w:rsid w:val="00C639E7"/>
    <w:rsid w:val="00C659BE"/>
    <w:rsid w:val="00C66AE3"/>
    <w:rsid w:val="00C718F9"/>
    <w:rsid w:val="00C72918"/>
    <w:rsid w:val="00C73993"/>
    <w:rsid w:val="00C73CF9"/>
    <w:rsid w:val="00C80300"/>
    <w:rsid w:val="00C82307"/>
    <w:rsid w:val="00C82F03"/>
    <w:rsid w:val="00C8613B"/>
    <w:rsid w:val="00C900DE"/>
    <w:rsid w:val="00C90922"/>
    <w:rsid w:val="00C91559"/>
    <w:rsid w:val="00C92622"/>
    <w:rsid w:val="00C93340"/>
    <w:rsid w:val="00C97228"/>
    <w:rsid w:val="00C9780D"/>
    <w:rsid w:val="00CA02DA"/>
    <w:rsid w:val="00CA1A54"/>
    <w:rsid w:val="00CA4CD0"/>
    <w:rsid w:val="00CA77BD"/>
    <w:rsid w:val="00CC1735"/>
    <w:rsid w:val="00CC1F0C"/>
    <w:rsid w:val="00CC46B2"/>
    <w:rsid w:val="00CC5718"/>
    <w:rsid w:val="00CC6A43"/>
    <w:rsid w:val="00CD02C9"/>
    <w:rsid w:val="00CD1352"/>
    <w:rsid w:val="00CD1CBE"/>
    <w:rsid w:val="00CD1E3E"/>
    <w:rsid w:val="00CD232B"/>
    <w:rsid w:val="00CD32E2"/>
    <w:rsid w:val="00CD4B0B"/>
    <w:rsid w:val="00CD4E26"/>
    <w:rsid w:val="00CD6698"/>
    <w:rsid w:val="00CE1E5B"/>
    <w:rsid w:val="00CF1D92"/>
    <w:rsid w:val="00CF2D92"/>
    <w:rsid w:val="00CF5D91"/>
    <w:rsid w:val="00CF7FBF"/>
    <w:rsid w:val="00D0025C"/>
    <w:rsid w:val="00D004FB"/>
    <w:rsid w:val="00D02BBC"/>
    <w:rsid w:val="00D02C36"/>
    <w:rsid w:val="00D12172"/>
    <w:rsid w:val="00D12B8C"/>
    <w:rsid w:val="00D200F6"/>
    <w:rsid w:val="00D21646"/>
    <w:rsid w:val="00D234FB"/>
    <w:rsid w:val="00D27730"/>
    <w:rsid w:val="00D32BA3"/>
    <w:rsid w:val="00D36A3A"/>
    <w:rsid w:val="00D4087B"/>
    <w:rsid w:val="00D40D48"/>
    <w:rsid w:val="00D454F2"/>
    <w:rsid w:val="00D45A3D"/>
    <w:rsid w:val="00D47CE9"/>
    <w:rsid w:val="00D52995"/>
    <w:rsid w:val="00D56A78"/>
    <w:rsid w:val="00D61BE8"/>
    <w:rsid w:val="00D67D5B"/>
    <w:rsid w:val="00D71EAF"/>
    <w:rsid w:val="00D72ADE"/>
    <w:rsid w:val="00D75233"/>
    <w:rsid w:val="00D7728F"/>
    <w:rsid w:val="00D77696"/>
    <w:rsid w:val="00D81CC4"/>
    <w:rsid w:val="00D95BE9"/>
    <w:rsid w:val="00D96D74"/>
    <w:rsid w:val="00D9765E"/>
    <w:rsid w:val="00DA4591"/>
    <w:rsid w:val="00DA629F"/>
    <w:rsid w:val="00DA6430"/>
    <w:rsid w:val="00DA681A"/>
    <w:rsid w:val="00DB4188"/>
    <w:rsid w:val="00DB4876"/>
    <w:rsid w:val="00DB63DB"/>
    <w:rsid w:val="00DB7824"/>
    <w:rsid w:val="00DB7AC1"/>
    <w:rsid w:val="00DB7EAF"/>
    <w:rsid w:val="00DC2886"/>
    <w:rsid w:val="00DC308E"/>
    <w:rsid w:val="00DC4CD9"/>
    <w:rsid w:val="00DC5068"/>
    <w:rsid w:val="00DC6C76"/>
    <w:rsid w:val="00DC7E74"/>
    <w:rsid w:val="00DC7F73"/>
    <w:rsid w:val="00DD5E98"/>
    <w:rsid w:val="00DE0413"/>
    <w:rsid w:val="00DE159B"/>
    <w:rsid w:val="00DE191A"/>
    <w:rsid w:val="00DE1A0F"/>
    <w:rsid w:val="00DE3123"/>
    <w:rsid w:val="00DE339F"/>
    <w:rsid w:val="00DE4AFB"/>
    <w:rsid w:val="00DE4DA3"/>
    <w:rsid w:val="00DF1535"/>
    <w:rsid w:val="00DF53F5"/>
    <w:rsid w:val="00DF61FD"/>
    <w:rsid w:val="00DF6D25"/>
    <w:rsid w:val="00E012C4"/>
    <w:rsid w:val="00E03C6D"/>
    <w:rsid w:val="00E057FA"/>
    <w:rsid w:val="00E06EBD"/>
    <w:rsid w:val="00E11EE3"/>
    <w:rsid w:val="00E135F9"/>
    <w:rsid w:val="00E14349"/>
    <w:rsid w:val="00E14615"/>
    <w:rsid w:val="00E20C28"/>
    <w:rsid w:val="00E22A77"/>
    <w:rsid w:val="00E22E84"/>
    <w:rsid w:val="00E24B18"/>
    <w:rsid w:val="00E2602D"/>
    <w:rsid w:val="00E30003"/>
    <w:rsid w:val="00E3016C"/>
    <w:rsid w:val="00E30721"/>
    <w:rsid w:val="00E33C5E"/>
    <w:rsid w:val="00E348BC"/>
    <w:rsid w:val="00E36CE5"/>
    <w:rsid w:val="00E4307D"/>
    <w:rsid w:val="00E4318F"/>
    <w:rsid w:val="00E4392E"/>
    <w:rsid w:val="00E5216E"/>
    <w:rsid w:val="00E54395"/>
    <w:rsid w:val="00E54741"/>
    <w:rsid w:val="00E568E5"/>
    <w:rsid w:val="00E57AAD"/>
    <w:rsid w:val="00E6453F"/>
    <w:rsid w:val="00E659EF"/>
    <w:rsid w:val="00E70CBD"/>
    <w:rsid w:val="00E717E8"/>
    <w:rsid w:val="00E7243A"/>
    <w:rsid w:val="00E72BAF"/>
    <w:rsid w:val="00E73D81"/>
    <w:rsid w:val="00E754F4"/>
    <w:rsid w:val="00E77503"/>
    <w:rsid w:val="00E81D4C"/>
    <w:rsid w:val="00E85DFC"/>
    <w:rsid w:val="00E97FDC"/>
    <w:rsid w:val="00EA057C"/>
    <w:rsid w:val="00EA0753"/>
    <w:rsid w:val="00EA0D05"/>
    <w:rsid w:val="00EA2D3D"/>
    <w:rsid w:val="00EA5B84"/>
    <w:rsid w:val="00EA7548"/>
    <w:rsid w:val="00EB20F9"/>
    <w:rsid w:val="00EB24EB"/>
    <w:rsid w:val="00EB25D9"/>
    <w:rsid w:val="00EB34AF"/>
    <w:rsid w:val="00EB38B0"/>
    <w:rsid w:val="00EC24B0"/>
    <w:rsid w:val="00ED06CC"/>
    <w:rsid w:val="00ED2C8E"/>
    <w:rsid w:val="00ED379E"/>
    <w:rsid w:val="00ED60D8"/>
    <w:rsid w:val="00ED66F1"/>
    <w:rsid w:val="00ED66F5"/>
    <w:rsid w:val="00ED7680"/>
    <w:rsid w:val="00EE0424"/>
    <w:rsid w:val="00EE0D47"/>
    <w:rsid w:val="00EE0DCD"/>
    <w:rsid w:val="00EE23B2"/>
    <w:rsid w:val="00EE2D80"/>
    <w:rsid w:val="00EE5358"/>
    <w:rsid w:val="00EE7938"/>
    <w:rsid w:val="00EF2500"/>
    <w:rsid w:val="00EF2EBB"/>
    <w:rsid w:val="00EF30AD"/>
    <w:rsid w:val="00EF513A"/>
    <w:rsid w:val="00EF54D8"/>
    <w:rsid w:val="00EF71E9"/>
    <w:rsid w:val="00F006D2"/>
    <w:rsid w:val="00F00BD1"/>
    <w:rsid w:val="00F01FD9"/>
    <w:rsid w:val="00F04B07"/>
    <w:rsid w:val="00F05BA8"/>
    <w:rsid w:val="00F16F13"/>
    <w:rsid w:val="00F1757F"/>
    <w:rsid w:val="00F20A3D"/>
    <w:rsid w:val="00F23E9A"/>
    <w:rsid w:val="00F242D9"/>
    <w:rsid w:val="00F24B19"/>
    <w:rsid w:val="00F3715D"/>
    <w:rsid w:val="00F40650"/>
    <w:rsid w:val="00F4445A"/>
    <w:rsid w:val="00F44B62"/>
    <w:rsid w:val="00F5072C"/>
    <w:rsid w:val="00F51CBF"/>
    <w:rsid w:val="00F526D5"/>
    <w:rsid w:val="00F5411D"/>
    <w:rsid w:val="00F56D2B"/>
    <w:rsid w:val="00F57D2D"/>
    <w:rsid w:val="00F606D8"/>
    <w:rsid w:val="00F62A49"/>
    <w:rsid w:val="00F64D89"/>
    <w:rsid w:val="00F64F0D"/>
    <w:rsid w:val="00F7026A"/>
    <w:rsid w:val="00F704F9"/>
    <w:rsid w:val="00F71826"/>
    <w:rsid w:val="00F72B45"/>
    <w:rsid w:val="00F73B00"/>
    <w:rsid w:val="00F7608E"/>
    <w:rsid w:val="00F84737"/>
    <w:rsid w:val="00F87B69"/>
    <w:rsid w:val="00F90C95"/>
    <w:rsid w:val="00F9103E"/>
    <w:rsid w:val="00F938C2"/>
    <w:rsid w:val="00F94048"/>
    <w:rsid w:val="00F95923"/>
    <w:rsid w:val="00F96A39"/>
    <w:rsid w:val="00F96DB3"/>
    <w:rsid w:val="00F97463"/>
    <w:rsid w:val="00FA4DC6"/>
    <w:rsid w:val="00FA5D99"/>
    <w:rsid w:val="00FB030E"/>
    <w:rsid w:val="00FB571F"/>
    <w:rsid w:val="00FC0CA6"/>
    <w:rsid w:val="00FC3474"/>
    <w:rsid w:val="00FC42BA"/>
    <w:rsid w:val="00FC6166"/>
    <w:rsid w:val="00FD08C1"/>
    <w:rsid w:val="00FD2C54"/>
    <w:rsid w:val="00FD735E"/>
    <w:rsid w:val="00FD7A7A"/>
    <w:rsid w:val="00FE06A3"/>
    <w:rsid w:val="00FE10C1"/>
    <w:rsid w:val="00FE190E"/>
    <w:rsid w:val="00FE1B67"/>
    <w:rsid w:val="00FE20A9"/>
    <w:rsid w:val="00FE48A9"/>
    <w:rsid w:val="00FF08B7"/>
    <w:rsid w:val="00FF12B8"/>
    <w:rsid w:val="00FF4D8F"/>
    <w:rsid w:val="00FF5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2CC295"/>
  <w15:docId w15:val="{0FDE4FDB-A06E-4475-989F-03644E8C1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FD735E"/>
    <w:pPr>
      <w:keepNext/>
      <w:keepLines/>
      <w:spacing w:before="280" w:after="80"/>
      <w:jc w:val="center"/>
    </w:pPr>
    <w:rPr>
      <w:rFonts w:cs="Arial"/>
      <w:b/>
      <w:color w:val="000000"/>
      <w:sz w:val="20"/>
      <w:szCs w:val="22"/>
    </w:rPr>
  </w:style>
  <w:style w:type="character" w:customStyle="1" w:styleId="CaptionChar">
    <w:name w:val="Caption Char"/>
    <w:aliases w:val="eTRM Caption Char"/>
    <w:link w:val="Caption"/>
    <w:locked/>
    <w:rsid w:val="00FD735E"/>
    <w:rPr>
      <w:rFonts w:ascii="Calibri Light" w:hAnsi="Calibri Light" w:cs="Arial"/>
      <w:b/>
      <w:color w:val="000000"/>
      <w:sz w:val="20"/>
      <w:szCs w:val="22"/>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24515"/>
  </w:style>
  <w:style w:type="character" w:customStyle="1" w:styleId="FigureCaptionChar">
    <w:name w:val="Figure Caption Char"/>
    <w:basedOn w:val="CaptionChar"/>
    <w:link w:val="FigureCaption"/>
    <w:rsid w:val="00C24515"/>
    <w:rPr>
      <w:rFonts w:ascii="Calibri Light" w:hAnsi="Calibri Light" w:cs="Arial"/>
      <w:b/>
      <w:color w:val="000000"/>
      <w:sz w:val="20"/>
      <w:szCs w:val="22"/>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963238"/>
    <w:pPr>
      <w:spacing w:before="20" w:after="20"/>
    </w:pPr>
  </w:style>
  <w:style w:type="character" w:customStyle="1" w:styleId="eTRMFootnoteTextChar">
    <w:name w:val="eTRM Footnote Text Char"/>
    <w:basedOn w:val="FootnoteTextChar"/>
    <w:link w:val="eTRMFootnoteText"/>
    <w:rsid w:val="00963238"/>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s">
    <w:name w:val="Reminders"/>
    <w:basedOn w:val="Normal"/>
    <w:link w:val="RemindersChar"/>
    <w:rsid w:val="00020B4B"/>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020B4B"/>
    <w:rPr>
      <w:rFonts w:ascii="Trebuchet MS" w:eastAsia="Times New Roman" w:hAnsi="Trebuchet MS" w:cs="Times New Roman"/>
      <w:i/>
      <w:color w:val="FF0000"/>
      <w:sz w:val="22"/>
    </w:rPr>
  </w:style>
  <w:style w:type="table" w:customStyle="1" w:styleId="TableGrid1">
    <w:name w:val="Table Grid1"/>
    <w:basedOn w:val="TableNormal"/>
    <w:next w:val="TableGrid"/>
    <w:rsid w:val="00A72BF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F1719"/>
  </w:style>
  <w:style w:type="paragraph" w:styleId="NoSpacing">
    <w:name w:val="No Spacing"/>
    <w:uiPriority w:val="1"/>
    <w:qFormat/>
    <w:rsid w:val="006D071D"/>
    <w:rPr>
      <w:rFonts w:eastAsiaTheme="minorHAnsi"/>
      <w:sz w:val="22"/>
      <w:szCs w:val="22"/>
    </w:rPr>
  </w:style>
  <w:style w:type="character" w:styleId="PlaceholderText">
    <w:name w:val="Placeholder Text"/>
    <w:basedOn w:val="DefaultParagraphFont"/>
    <w:uiPriority w:val="99"/>
    <w:semiHidden/>
    <w:rsid w:val="00A6479A"/>
    <w:rPr>
      <w:color w:val="808080"/>
    </w:rPr>
  </w:style>
  <w:style w:type="paragraph" w:customStyle="1" w:styleId="TableParagraph">
    <w:name w:val="Table Paragraph"/>
    <w:basedOn w:val="Normal"/>
    <w:uiPriority w:val="1"/>
    <w:qFormat/>
    <w:rsid w:val="007E22C8"/>
    <w:pPr>
      <w:widowControl w:val="0"/>
      <w:spacing w:before="0" w:after="0" w:line="240" w:lineRule="auto"/>
    </w:pPr>
    <w:rPr>
      <w:rFonts w:asciiTheme="minorHAnsi" w:eastAsiaTheme="minorHAnsi"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69290">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263261">
      <w:bodyDiv w:val="1"/>
      <w:marLeft w:val="0"/>
      <w:marRight w:val="0"/>
      <w:marTop w:val="0"/>
      <w:marBottom w:val="0"/>
      <w:divBdr>
        <w:top w:val="none" w:sz="0" w:space="0" w:color="auto"/>
        <w:left w:val="none" w:sz="0" w:space="0" w:color="auto"/>
        <w:bottom w:val="none" w:sz="0" w:space="0" w:color="auto"/>
        <w:right w:val="none" w:sz="0" w:space="0" w:color="auto"/>
      </w:divBdr>
    </w:div>
    <w:div w:id="651449030">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18723223">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952468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designlights.org/sear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rsmeansonline.com/References/LABORRATE/2-Year%202020%20Labor%20Rates/Open%20Shop%20Labor%20Rates.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A53CB-D4E1-4FFC-A4D6-89C2B116E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B3FA292-0129-4E5F-B57E-0DEFD562BAA7}">
  <ds:schemaRefs>
    <ds:schemaRef ds:uri="http://schemas.microsoft.com/sharepoint/v3/contenttype/forms"/>
  </ds:schemaRefs>
</ds:datastoreItem>
</file>

<file path=customXml/itemProps3.xml><?xml version="1.0" encoding="utf-8"?>
<ds:datastoreItem xmlns:ds="http://schemas.openxmlformats.org/officeDocument/2006/customXml" ds:itemID="{1E13AA48-0693-4AFF-BD8A-65C78470D8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1F4EC6-B72B-4DCC-B6F3-4FD6BE85D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37</TotalTime>
  <Pages>23</Pages>
  <Words>6360</Words>
  <Characters>36258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Hewlett-Packard</Company>
  <LinksUpToDate>false</LinksUpToDate>
  <CharactersWithSpaces>42533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Ajay Wadhera</cp:lastModifiedBy>
  <cp:revision>4</cp:revision>
  <cp:lastPrinted>2019-04-30T05:03:00Z</cp:lastPrinted>
  <dcterms:created xsi:type="dcterms:W3CDTF">2020-06-17T14:59:00Z</dcterms:created>
  <dcterms:modified xsi:type="dcterms:W3CDTF">2021-08-09T17:03:00Z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